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51" w:rsidRDefault="00ED7FDB" w:rsidP="00992B51">
      <w:pPr>
        <w:pStyle w:val="Subttulo"/>
      </w:pPr>
      <w:r>
        <w:rPr>
          <w:noProof/>
          <w:lang w:eastAsia="es-AR"/>
        </w:rPr>
        <w:drawing>
          <wp:anchor distT="0" distB="0" distL="114300" distR="114300" simplePos="0" relativeHeight="251682816" behindDoc="1" locked="0" layoutInCell="1" allowOverlap="1">
            <wp:simplePos x="0" y="0"/>
            <wp:positionH relativeFrom="column">
              <wp:posOffset>4528758</wp:posOffset>
            </wp:positionH>
            <wp:positionV relativeFrom="paragraph">
              <wp:posOffset>136990</wp:posOffset>
            </wp:positionV>
            <wp:extent cx="1660959" cy="1828800"/>
            <wp:effectExtent l="0" t="0" r="0" b="0"/>
            <wp:wrapNone/>
            <wp:docPr id="30" name="Imagen 30" descr="Alto Paraguay in Paragua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to Paraguay in Paraguay.s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0959"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B51">
        <w:rPr>
          <w:noProof/>
          <w:lang w:eastAsia="es-AR"/>
        </w:rPr>
        <mc:AlternateContent>
          <mc:Choice Requires="wps">
            <w:drawing>
              <wp:anchor distT="0" distB="0" distL="114300" distR="114300" simplePos="0" relativeHeight="251659264" behindDoc="0" locked="0" layoutInCell="1" allowOverlap="1" wp14:anchorId="1026C872" wp14:editId="3AE46F18">
                <wp:simplePos x="0" y="0"/>
                <wp:positionH relativeFrom="column">
                  <wp:posOffset>45280</wp:posOffset>
                </wp:positionH>
                <wp:positionV relativeFrom="paragraph">
                  <wp:posOffset>235669</wp:posOffset>
                </wp:positionV>
                <wp:extent cx="2682910" cy="0"/>
                <wp:effectExtent l="0" t="0" r="22225" b="19050"/>
                <wp:wrapNone/>
                <wp:docPr id="1" name="1 Conector recto"/>
                <wp:cNvGraphicFramePr/>
                <a:graphic xmlns:a="http://schemas.openxmlformats.org/drawingml/2006/main">
                  <a:graphicData uri="http://schemas.microsoft.com/office/word/2010/wordprocessingShape">
                    <wps:wsp>
                      <wps:cNvCnPr/>
                      <wps:spPr>
                        <a:xfrm>
                          <a:off x="0" y="0"/>
                          <a:ext cx="2682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5pt,18.55pt" to="214.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" strokecolor="#4579b8 [3044]"/>
            </w:pict>
          </mc:Fallback>
        </mc:AlternateContent>
      </w:r>
      <w:r>
        <w:t>Alto Paraguay</w:t>
      </w:r>
      <w:r w:rsidR="00992B51">
        <w:t>- Paraguay</w:t>
      </w:r>
    </w:p>
    <w:p w:rsidR="00992B51" w:rsidRDefault="00992B51" w:rsidP="00992B51">
      <w:pPr>
        <w:rPr>
          <w:rStyle w:val="nfasissutil"/>
        </w:rPr>
      </w:pPr>
      <w:r w:rsidRPr="00587842">
        <w:rPr>
          <w:rStyle w:val="nfasissutil"/>
        </w:rPr>
        <w:t>Ciudad Capital</w:t>
      </w:r>
      <w:r>
        <w:rPr>
          <w:rStyle w:val="nfasissutil"/>
        </w:rPr>
        <w:t xml:space="preserve">: </w:t>
      </w:r>
      <w:r w:rsidR="00117225">
        <w:rPr>
          <w:rStyle w:val="nfasissutil"/>
        </w:rPr>
        <w:t>Fuerte Olimpo</w:t>
      </w:r>
      <w:r>
        <w:rPr>
          <w:rStyle w:val="nfasissutil"/>
        </w:rPr>
        <w:t xml:space="preserve">. </w:t>
      </w:r>
    </w:p>
    <w:p w:rsidR="00992B51" w:rsidRPr="00587842" w:rsidRDefault="00992B51" w:rsidP="00992B51">
      <w:pPr>
        <w:rPr>
          <w:rStyle w:val="nfasissutil"/>
        </w:rPr>
      </w:pPr>
      <w:r>
        <w:rPr>
          <w:rStyle w:val="nfasissutil"/>
        </w:rPr>
        <w:t xml:space="preserve">Otras ciudades: </w:t>
      </w:r>
      <w:r w:rsidR="00117225">
        <w:rPr>
          <w:rStyle w:val="nfasissutil"/>
        </w:rPr>
        <w:t>Puerto Casado</w:t>
      </w:r>
      <w:r w:rsidR="00C01688">
        <w:rPr>
          <w:rStyle w:val="nfasissutil"/>
        </w:rPr>
        <w:t>,</w:t>
      </w:r>
      <w:r w:rsidR="00117225">
        <w:rPr>
          <w:rStyle w:val="nfasissutil"/>
        </w:rPr>
        <w:t xml:space="preserve"> Bahía Negra</w:t>
      </w:r>
      <w:r>
        <w:rPr>
          <w:rStyle w:val="nfasissutil"/>
        </w:rPr>
        <w:t xml:space="preserve">  </w:t>
      </w:r>
    </w:p>
    <w:p w:rsidR="00992B51" w:rsidRPr="00587842" w:rsidRDefault="00117225" w:rsidP="00992B51">
      <w:pPr>
        <w:rPr>
          <w:rStyle w:val="nfasissutil"/>
        </w:rPr>
      </w:pPr>
      <w:r>
        <w:rPr>
          <w:rStyle w:val="nfasissutil"/>
        </w:rPr>
        <w:t>82</w:t>
      </w:r>
      <w:r w:rsidR="00376EFA">
        <w:rPr>
          <w:rStyle w:val="nfasissutil"/>
        </w:rPr>
        <w:t>.</w:t>
      </w:r>
      <w:r>
        <w:rPr>
          <w:rStyle w:val="nfasissutil"/>
        </w:rPr>
        <w:t>349</w:t>
      </w:r>
      <w:r w:rsidR="00992B51">
        <w:rPr>
          <w:rStyle w:val="nfasissutil"/>
        </w:rPr>
        <w:t xml:space="preserve"> km2</w:t>
      </w:r>
    </w:p>
    <w:p w:rsidR="00992B51" w:rsidRPr="00587842" w:rsidRDefault="00117225" w:rsidP="00992B51">
      <w:pPr>
        <w:rPr>
          <w:rStyle w:val="nfasissutil"/>
        </w:rPr>
      </w:pPr>
      <w:r>
        <w:rPr>
          <w:rStyle w:val="nfasissutil"/>
        </w:rPr>
        <w:t>16</w:t>
      </w:r>
      <w:r w:rsidR="006B378A">
        <w:rPr>
          <w:rStyle w:val="nfasissutil"/>
        </w:rPr>
        <w:t xml:space="preserve"> </w:t>
      </w:r>
      <w:r>
        <w:rPr>
          <w:rStyle w:val="nfasissutil"/>
        </w:rPr>
        <w:t>897</w:t>
      </w:r>
      <w:r w:rsidR="00992B51">
        <w:rPr>
          <w:rStyle w:val="nfasissutil"/>
        </w:rPr>
        <w:t xml:space="preserve"> habitantes</w:t>
      </w:r>
    </w:p>
    <w:p w:rsidR="006B378A" w:rsidRPr="006B378A" w:rsidRDefault="00992B51" w:rsidP="006B378A">
      <w:pPr>
        <w:spacing w:before="120" w:after="168" w:line="336" w:lineRule="atLeast"/>
        <w:rPr>
          <w:rStyle w:val="nfasissutil"/>
        </w:rPr>
      </w:pPr>
      <w:r>
        <w:rPr>
          <w:rStyle w:val="nfasissutil"/>
        </w:rPr>
        <w:t xml:space="preserve">Gobernador: </w:t>
      </w:r>
      <w:r w:rsidR="00117225" w:rsidRPr="00117225">
        <w:rPr>
          <w:i/>
          <w:iCs/>
          <w:color w:val="808080" w:themeColor="text1" w:themeTint="7F"/>
        </w:rPr>
        <w:t>Marlene Graciela Ocampos </w:t>
      </w:r>
    </w:p>
    <w:p w:rsidR="001E120D" w:rsidRDefault="001E120D" w:rsidP="00992B51">
      <w:pPr>
        <w:sectPr w:rsidR="001E120D">
          <w:pgSz w:w="12240" w:h="15840"/>
          <w:pgMar w:top="1417" w:right="1701" w:bottom="1417" w:left="1701" w:header="708" w:footer="708" w:gutter="0"/>
          <w:cols w:space="708"/>
          <w:docGrid w:linePitch="360"/>
        </w:sectPr>
      </w:pPr>
    </w:p>
    <w:tbl>
      <w:tblPr>
        <w:tblStyle w:val="Cuadrculavistosa-nfasis1"/>
        <w:tblpPr w:leftFromText="141" w:rightFromText="141" w:vertAnchor="text" w:horzAnchor="margin" w:tblpXSpec="center" w:tblpY="470"/>
        <w:tblW w:w="11320" w:type="dxa"/>
        <w:tblLook w:val="04A0" w:firstRow="1" w:lastRow="0" w:firstColumn="1" w:lastColumn="0" w:noHBand="0" w:noVBand="1"/>
      </w:tblPr>
      <w:tblGrid>
        <w:gridCol w:w="1311"/>
        <w:gridCol w:w="4217"/>
        <w:gridCol w:w="1596"/>
        <w:gridCol w:w="2000"/>
        <w:gridCol w:w="2196"/>
      </w:tblGrid>
      <w:tr w:rsidR="007B1909" w:rsidTr="007B1909">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311" w:type="dxa"/>
          </w:tcPr>
          <w:p w:rsidR="007B1909" w:rsidRPr="00597629" w:rsidRDefault="007B1909" w:rsidP="007B1909">
            <w:pPr>
              <w:jc w:val="center"/>
              <w:rPr>
                <w:b w:val="0"/>
              </w:rPr>
            </w:pPr>
            <w:r w:rsidRPr="00597629">
              <w:rPr>
                <w:b w:val="0"/>
                <w:color w:val="auto"/>
              </w:rPr>
              <w:t xml:space="preserve">Indicadores </w:t>
            </w:r>
          </w:p>
        </w:tc>
        <w:tc>
          <w:tcPr>
            <w:tcW w:w="4217" w:type="dxa"/>
          </w:tcPr>
          <w:p w:rsidR="007B1909" w:rsidRPr="00597629" w:rsidRDefault="007B1909" w:rsidP="007B1909">
            <w:pPr>
              <w:cnfStyle w:val="100000000000" w:firstRow="1" w:lastRow="0" w:firstColumn="0" w:lastColumn="0" w:oddVBand="0" w:evenVBand="0" w:oddHBand="0" w:evenHBand="0" w:firstRowFirstColumn="0" w:firstRowLastColumn="0" w:lastRowFirstColumn="0" w:lastRowLastColumn="0"/>
            </w:pPr>
            <w:r>
              <w:t>Indicador</w:t>
            </w:r>
          </w:p>
        </w:tc>
        <w:tc>
          <w:tcPr>
            <w:tcW w:w="1596" w:type="dxa"/>
          </w:tcPr>
          <w:p w:rsidR="007B1909" w:rsidRPr="00597629" w:rsidRDefault="007B1909" w:rsidP="007B1909">
            <w:pPr>
              <w:cnfStyle w:val="100000000000" w:firstRow="1" w:lastRow="0" w:firstColumn="0" w:lastColumn="0" w:oddVBand="0" w:evenVBand="0" w:oddHBand="0" w:evenHBand="0" w:firstRowFirstColumn="0" w:firstRowLastColumn="0" w:lastRowFirstColumn="0" w:lastRowLastColumn="0"/>
            </w:pPr>
            <w:r>
              <w:t>Valor</w:t>
            </w:r>
          </w:p>
        </w:tc>
        <w:tc>
          <w:tcPr>
            <w:tcW w:w="2000" w:type="dxa"/>
          </w:tcPr>
          <w:p w:rsidR="007B1909" w:rsidRPr="00597629" w:rsidRDefault="007B1909" w:rsidP="007B1909">
            <w:pPr>
              <w:cnfStyle w:val="100000000000" w:firstRow="1" w:lastRow="0" w:firstColumn="0" w:lastColumn="0" w:oddVBand="0" w:evenVBand="0" w:oddHBand="0" w:evenHBand="0" w:firstRowFirstColumn="0" w:firstRowLastColumn="0" w:lastRowFirstColumn="0" w:lastRowLastColumn="0"/>
            </w:pPr>
            <w:r>
              <w:t>Año</w:t>
            </w:r>
          </w:p>
        </w:tc>
        <w:tc>
          <w:tcPr>
            <w:tcW w:w="2196" w:type="dxa"/>
          </w:tcPr>
          <w:p w:rsidR="007B1909" w:rsidRDefault="007B1909" w:rsidP="007B1909">
            <w:pPr>
              <w:cnfStyle w:val="100000000000" w:firstRow="1" w:lastRow="0" w:firstColumn="0" w:lastColumn="0" w:oddVBand="0" w:evenVBand="0" w:oddHBand="0" w:evenHBand="0" w:firstRowFirstColumn="0" w:firstRowLastColumn="0" w:lastRowFirstColumn="0" w:lastRowLastColumn="0"/>
            </w:pPr>
            <w:r>
              <w:t>Fuente</w:t>
            </w:r>
          </w:p>
        </w:tc>
      </w:tr>
      <w:tr w:rsidR="007B1909" w:rsidTr="007B1909">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color w:val="auto"/>
              </w:rPr>
            </w:pPr>
            <w:r w:rsidRPr="00587842">
              <w:rPr>
                <w:b/>
                <w:color w:val="auto"/>
              </w:rPr>
              <w:t>Educación</w:t>
            </w:r>
          </w:p>
        </w:tc>
        <w:tc>
          <w:tcPr>
            <w:tcW w:w="4217" w:type="dxa"/>
          </w:tcPr>
          <w:p w:rsidR="007B1909" w:rsidRPr="0008026B" w:rsidRDefault="007B1909" w:rsidP="007B1909">
            <w:pPr>
              <w:cnfStyle w:val="000000100000" w:firstRow="0" w:lastRow="0" w:firstColumn="0" w:lastColumn="0" w:oddVBand="0" w:evenVBand="0" w:oddHBand="1" w:evenHBand="0" w:firstRowFirstColumn="0" w:firstRowLastColumn="0" w:lastRowFirstColumn="0" w:lastRowLastColumn="0"/>
              <w:rPr>
                <w:i/>
                <w:sz w:val="20"/>
              </w:rPr>
            </w:pPr>
            <w:r w:rsidRPr="0008026B">
              <w:rPr>
                <w:i/>
                <w:sz w:val="20"/>
              </w:rPr>
              <w:t>Instituciones de educación inicial</w:t>
            </w:r>
          </w:p>
        </w:tc>
        <w:tc>
          <w:tcPr>
            <w:tcW w:w="1596" w:type="dxa"/>
          </w:tcPr>
          <w:p w:rsidR="007B1909" w:rsidRPr="00117225" w:rsidRDefault="00117225" w:rsidP="007B1909">
            <w:pPr>
              <w:cnfStyle w:val="000000100000" w:firstRow="0" w:lastRow="0" w:firstColumn="0" w:lastColumn="0" w:oddVBand="0" w:evenVBand="0" w:oddHBand="1" w:evenHBand="0" w:firstRowFirstColumn="0" w:firstRowLastColumn="0" w:lastRowFirstColumn="0" w:lastRowLastColumn="0"/>
              <w:rPr>
                <w:color w:val="auto"/>
              </w:rPr>
            </w:pPr>
            <w:r w:rsidRPr="00117225">
              <w:rPr>
                <w:color w:val="auto"/>
              </w:rPr>
              <w:t>30</w:t>
            </w:r>
          </w:p>
        </w:tc>
        <w:tc>
          <w:tcPr>
            <w:tcW w:w="2000" w:type="dxa"/>
          </w:tcPr>
          <w:p w:rsidR="007B1909" w:rsidRDefault="007B1909" w:rsidP="007B1909">
            <w:pPr>
              <w:cnfStyle w:val="000000100000" w:firstRow="0" w:lastRow="0" w:firstColumn="0" w:lastColumn="0" w:oddVBand="0" w:evenVBand="0" w:oddHBand="1" w:evenHBand="0" w:firstRowFirstColumn="0" w:firstRowLastColumn="0" w:lastRowFirstColumn="0" w:lastRowLastColumn="0"/>
            </w:pPr>
            <w:r>
              <w:t>2012</w:t>
            </w:r>
          </w:p>
        </w:tc>
        <w:tc>
          <w:tcPr>
            <w:tcW w:w="2196" w:type="dxa"/>
          </w:tcPr>
          <w:p w:rsidR="007B1909" w:rsidRPr="00246EDF" w:rsidRDefault="007B1909" w:rsidP="007B1909">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Anuario Estadístico (DGEEC; 2014)</w:t>
            </w:r>
          </w:p>
        </w:tc>
      </w:tr>
      <w:tr w:rsidR="007B1909" w:rsidTr="007B1909">
        <w:trPr>
          <w:trHeight w:val="214"/>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color w:val="auto"/>
              </w:rPr>
            </w:pPr>
            <w:r w:rsidRPr="00587842">
              <w:rPr>
                <w:b/>
                <w:color w:val="auto"/>
              </w:rPr>
              <w:t>Salud</w:t>
            </w:r>
          </w:p>
        </w:tc>
        <w:tc>
          <w:tcPr>
            <w:tcW w:w="4217" w:type="dxa"/>
          </w:tcPr>
          <w:p w:rsidR="007B1909" w:rsidRPr="0008026B" w:rsidRDefault="007B1909" w:rsidP="007B1909">
            <w:pPr>
              <w:cnfStyle w:val="000000000000" w:firstRow="0" w:lastRow="0" w:firstColumn="0" w:lastColumn="0" w:oddVBand="0" w:evenVBand="0" w:oddHBand="0" w:evenHBand="0" w:firstRowFirstColumn="0" w:firstRowLastColumn="0" w:lastRowFirstColumn="0" w:lastRowLastColumn="0"/>
              <w:rPr>
                <w:i/>
                <w:sz w:val="20"/>
              </w:rPr>
            </w:pPr>
            <w:r w:rsidRPr="0008026B">
              <w:rPr>
                <w:i/>
                <w:sz w:val="20"/>
              </w:rPr>
              <w:t>Mortalidad infantil (%)</w:t>
            </w:r>
          </w:p>
        </w:tc>
        <w:tc>
          <w:tcPr>
            <w:tcW w:w="1596" w:type="dxa"/>
          </w:tcPr>
          <w:p w:rsidR="007B1909" w:rsidRPr="00117225" w:rsidRDefault="00117225" w:rsidP="002624EE">
            <w:pPr>
              <w:cnfStyle w:val="000000000000" w:firstRow="0" w:lastRow="0" w:firstColumn="0" w:lastColumn="0" w:oddVBand="0" w:evenVBand="0" w:oddHBand="0" w:evenHBand="0" w:firstRowFirstColumn="0" w:firstRowLastColumn="0" w:lastRowFirstColumn="0" w:lastRowLastColumn="0"/>
              <w:rPr>
                <w:color w:val="auto"/>
              </w:rPr>
            </w:pPr>
            <w:r w:rsidRPr="00117225">
              <w:rPr>
                <w:color w:val="auto"/>
              </w:rPr>
              <w:t>16,6</w:t>
            </w:r>
          </w:p>
        </w:tc>
        <w:tc>
          <w:tcPr>
            <w:tcW w:w="2000" w:type="dxa"/>
          </w:tcPr>
          <w:p w:rsidR="007B1909" w:rsidRDefault="007B1909" w:rsidP="007B1909">
            <w:pPr>
              <w:cnfStyle w:val="000000000000" w:firstRow="0" w:lastRow="0" w:firstColumn="0" w:lastColumn="0" w:oddVBand="0" w:evenVBand="0" w:oddHBand="0" w:evenHBand="0" w:firstRowFirstColumn="0" w:firstRowLastColumn="0" w:lastRowFirstColumn="0" w:lastRowLastColumn="0"/>
            </w:pPr>
            <w:r>
              <w:t>2011</w:t>
            </w:r>
          </w:p>
        </w:tc>
        <w:tc>
          <w:tcPr>
            <w:tcW w:w="2196" w:type="dxa"/>
          </w:tcPr>
          <w:p w:rsidR="007B1909" w:rsidRPr="00246EDF" w:rsidRDefault="007B1909" w:rsidP="007B1909">
            <w:pPr>
              <w:cnfStyle w:val="000000000000" w:firstRow="0" w:lastRow="0" w:firstColumn="0" w:lastColumn="0" w:oddVBand="0" w:evenVBand="0" w:oddHBand="0" w:evenHBand="0" w:firstRowFirstColumn="0" w:firstRowLastColumn="0" w:lastRowFirstColumn="0" w:lastRowLastColumn="0"/>
              <w:rPr>
                <w:sz w:val="18"/>
              </w:rPr>
            </w:pPr>
            <w:r w:rsidRPr="00246EDF">
              <w:rPr>
                <w:sz w:val="18"/>
              </w:rPr>
              <w:t>Indicadores básicos de Salud del Paraguay (MINSABSO;2013)</w:t>
            </w:r>
          </w:p>
        </w:tc>
      </w:tr>
      <w:tr w:rsidR="007B1909" w:rsidTr="007B1909">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311" w:type="dxa"/>
            <w:vMerge w:val="restart"/>
            <w:shd w:val="clear" w:color="auto" w:fill="95B3D7" w:themeFill="accent1" w:themeFillTint="99"/>
          </w:tcPr>
          <w:p w:rsidR="007B1909" w:rsidRPr="00587842" w:rsidRDefault="007B1909" w:rsidP="007B1909">
            <w:pPr>
              <w:rPr>
                <w:b/>
                <w:color w:val="auto"/>
              </w:rPr>
            </w:pPr>
            <w:r w:rsidRPr="00587842">
              <w:rPr>
                <w:b/>
                <w:color w:val="auto"/>
              </w:rPr>
              <w:t>Empleo</w:t>
            </w:r>
          </w:p>
        </w:tc>
        <w:tc>
          <w:tcPr>
            <w:tcW w:w="4217" w:type="dxa"/>
          </w:tcPr>
          <w:p w:rsidR="007B1909" w:rsidRPr="0008026B" w:rsidRDefault="00F14BD5" w:rsidP="007B1909">
            <w:pPr>
              <w:cnfStyle w:val="000000100000" w:firstRow="0" w:lastRow="0" w:firstColumn="0" w:lastColumn="0" w:oddVBand="0" w:evenVBand="0" w:oddHBand="1" w:evenHBand="0" w:firstRowFirstColumn="0" w:firstRowLastColumn="0" w:lastRowFirstColumn="0" w:lastRowLastColumn="0"/>
              <w:rPr>
                <w:i/>
                <w:sz w:val="20"/>
              </w:rPr>
            </w:pPr>
            <w:r>
              <w:rPr>
                <w:i/>
                <w:sz w:val="20"/>
              </w:rPr>
              <w:t>Tasa de ocupación</w:t>
            </w:r>
          </w:p>
        </w:tc>
        <w:tc>
          <w:tcPr>
            <w:tcW w:w="1596" w:type="dxa"/>
          </w:tcPr>
          <w:p w:rsidR="007B1909" w:rsidRPr="00117225" w:rsidRDefault="00117225" w:rsidP="00375222">
            <w:pPr>
              <w:cnfStyle w:val="000000100000" w:firstRow="0" w:lastRow="0" w:firstColumn="0" w:lastColumn="0" w:oddVBand="0" w:evenVBand="0" w:oddHBand="1" w:evenHBand="0" w:firstRowFirstColumn="0" w:firstRowLastColumn="0" w:lastRowFirstColumn="0" w:lastRowLastColumn="0"/>
              <w:rPr>
                <w:color w:val="auto"/>
              </w:rPr>
            </w:pPr>
            <w:r w:rsidRPr="00117225">
              <w:rPr>
                <w:color w:val="auto"/>
              </w:rPr>
              <w:t>95,7</w:t>
            </w:r>
          </w:p>
        </w:tc>
        <w:tc>
          <w:tcPr>
            <w:tcW w:w="2000" w:type="dxa"/>
          </w:tcPr>
          <w:p w:rsidR="007B1909" w:rsidRDefault="00F14BD5" w:rsidP="007B1909">
            <w:pPr>
              <w:cnfStyle w:val="000000100000" w:firstRow="0" w:lastRow="0" w:firstColumn="0" w:lastColumn="0" w:oddVBand="0" w:evenVBand="0" w:oddHBand="1" w:evenHBand="0" w:firstRowFirstColumn="0" w:firstRowLastColumn="0" w:lastRowFirstColumn="0" w:lastRowLastColumn="0"/>
            </w:pPr>
            <w:r>
              <w:t>2002</w:t>
            </w:r>
          </w:p>
        </w:tc>
        <w:tc>
          <w:tcPr>
            <w:tcW w:w="2196" w:type="dxa"/>
          </w:tcPr>
          <w:p w:rsidR="007B1909" w:rsidRPr="00246EDF" w:rsidRDefault="00F14BD5" w:rsidP="007B1909">
            <w:pPr>
              <w:cnfStyle w:val="000000100000" w:firstRow="0" w:lastRow="0" w:firstColumn="0" w:lastColumn="0" w:oddVBand="0" w:evenVBand="0" w:oddHBand="1" w:evenHBand="0" w:firstRowFirstColumn="0" w:firstRowLastColumn="0" w:lastRowFirstColumn="0" w:lastRowLastColumn="0"/>
              <w:rPr>
                <w:sz w:val="18"/>
              </w:rPr>
            </w:pPr>
            <w:r>
              <w:rPr>
                <w:sz w:val="18"/>
              </w:rPr>
              <w:t>Atlas Censal</w:t>
            </w:r>
          </w:p>
        </w:tc>
      </w:tr>
      <w:tr w:rsidR="007B1909" w:rsidTr="007B1909">
        <w:trPr>
          <w:trHeight w:val="201"/>
        </w:trPr>
        <w:tc>
          <w:tcPr>
            <w:cnfStyle w:val="001000000000" w:firstRow="0" w:lastRow="0" w:firstColumn="1" w:lastColumn="0" w:oddVBand="0" w:evenVBand="0" w:oddHBand="0" w:evenHBand="0" w:firstRowFirstColumn="0" w:firstRowLastColumn="0" w:lastRowFirstColumn="0" w:lastRowLastColumn="0"/>
            <w:tcW w:w="1311" w:type="dxa"/>
            <w:vMerge/>
            <w:shd w:val="clear" w:color="auto" w:fill="95B3D7" w:themeFill="accent1" w:themeFillTint="99"/>
          </w:tcPr>
          <w:p w:rsidR="007B1909" w:rsidRPr="00587842" w:rsidRDefault="007B1909" w:rsidP="007B1909">
            <w:pPr>
              <w:rPr>
                <w:b/>
              </w:rPr>
            </w:pPr>
          </w:p>
        </w:tc>
        <w:tc>
          <w:tcPr>
            <w:tcW w:w="4217" w:type="dxa"/>
          </w:tcPr>
          <w:p w:rsidR="007B1909" w:rsidRPr="0008026B" w:rsidRDefault="007B1909" w:rsidP="007B1909">
            <w:pPr>
              <w:cnfStyle w:val="000000000000" w:firstRow="0" w:lastRow="0" w:firstColumn="0" w:lastColumn="0" w:oddVBand="0" w:evenVBand="0" w:oddHBand="0" w:evenHBand="0" w:firstRowFirstColumn="0" w:firstRowLastColumn="0" w:lastRowFirstColumn="0" w:lastRowLastColumn="0"/>
              <w:rPr>
                <w:i/>
                <w:sz w:val="20"/>
              </w:rPr>
            </w:pPr>
            <w:r w:rsidRPr="0008026B">
              <w:rPr>
                <w:i/>
                <w:sz w:val="20"/>
              </w:rPr>
              <w:t>PEA</w:t>
            </w:r>
          </w:p>
        </w:tc>
        <w:tc>
          <w:tcPr>
            <w:tcW w:w="1596" w:type="dxa"/>
          </w:tcPr>
          <w:p w:rsidR="007B1909" w:rsidRPr="00117225" w:rsidRDefault="00117225" w:rsidP="00117225">
            <w:pPr>
              <w:cnfStyle w:val="000000000000" w:firstRow="0" w:lastRow="0" w:firstColumn="0" w:lastColumn="0" w:oddVBand="0" w:evenVBand="0" w:oddHBand="0" w:evenHBand="0" w:firstRowFirstColumn="0" w:firstRowLastColumn="0" w:lastRowFirstColumn="0" w:lastRowLastColumn="0"/>
              <w:rPr>
                <w:color w:val="auto"/>
              </w:rPr>
            </w:pPr>
            <w:r w:rsidRPr="00117225">
              <w:rPr>
                <w:color w:val="auto"/>
              </w:rPr>
              <w:t>4</w:t>
            </w:r>
            <w:r w:rsidR="007B1909" w:rsidRPr="00117225">
              <w:rPr>
                <w:color w:val="auto"/>
              </w:rPr>
              <w:t>.</w:t>
            </w:r>
            <w:r w:rsidRPr="00117225">
              <w:rPr>
                <w:color w:val="auto"/>
              </w:rPr>
              <w:t>253</w:t>
            </w:r>
          </w:p>
        </w:tc>
        <w:tc>
          <w:tcPr>
            <w:tcW w:w="2000" w:type="dxa"/>
          </w:tcPr>
          <w:p w:rsidR="007B1909" w:rsidRDefault="007B1909" w:rsidP="007B1909">
            <w:pPr>
              <w:cnfStyle w:val="000000000000" w:firstRow="0" w:lastRow="0" w:firstColumn="0" w:lastColumn="0" w:oddVBand="0" w:evenVBand="0" w:oddHBand="0" w:evenHBand="0" w:firstRowFirstColumn="0" w:firstRowLastColumn="0" w:lastRowFirstColumn="0" w:lastRowLastColumn="0"/>
            </w:pPr>
            <w:r>
              <w:t>2002</w:t>
            </w:r>
          </w:p>
        </w:tc>
        <w:tc>
          <w:tcPr>
            <w:tcW w:w="2196" w:type="dxa"/>
          </w:tcPr>
          <w:p w:rsidR="007B1909" w:rsidRPr="00246EDF" w:rsidRDefault="007B1909" w:rsidP="007B1909">
            <w:pPr>
              <w:cnfStyle w:val="000000000000" w:firstRow="0" w:lastRow="0" w:firstColumn="0" w:lastColumn="0" w:oddVBand="0" w:evenVBand="0" w:oddHBand="0" w:evenHBand="0" w:firstRowFirstColumn="0" w:firstRowLastColumn="0" w:lastRowFirstColumn="0" w:lastRowLastColumn="0"/>
              <w:rPr>
                <w:sz w:val="18"/>
              </w:rPr>
            </w:pPr>
            <w:r>
              <w:rPr>
                <w:sz w:val="18"/>
              </w:rPr>
              <w:t>Atlas Censal</w:t>
            </w:r>
          </w:p>
        </w:tc>
      </w:tr>
      <w:tr w:rsidR="007B1909" w:rsidTr="007B1909">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color w:val="auto"/>
              </w:rPr>
            </w:pPr>
            <w:r w:rsidRPr="00587842">
              <w:rPr>
                <w:b/>
                <w:color w:val="auto"/>
              </w:rPr>
              <w:t>PBI</w:t>
            </w:r>
            <w:r>
              <w:rPr>
                <w:b/>
                <w:color w:val="auto"/>
              </w:rPr>
              <w:t xml:space="preserve"> </w:t>
            </w:r>
          </w:p>
        </w:tc>
        <w:tc>
          <w:tcPr>
            <w:tcW w:w="4217" w:type="dxa"/>
          </w:tcPr>
          <w:p w:rsidR="007B1909" w:rsidRPr="0008026B" w:rsidRDefault="007B1909" w:rsidP="007B1909">
            <w:pPr>
              <w:cnfStyle w:val="000000100000" w:firstRow="0" w:lastRow="0" w:firstColumn="0" w:lastColumn="0" w:oddVBand="0" w:evenVBand="0" w:oddHBand="1" w:evenHBand="0" w:firstRowFirstColumn="0" w:firstRowLastColumn="0" w:lastRowFirstColumn="0" w:lastRowLastColumn="0"/>
              <w:rPr>
                <w:i/>
                <w:sz w:val="20"/>
              </w:rPr>
            </w:pPr>
            <w:r w:rsidRPr="0008026B">
              <w:rPr>
                <w:i/>
                <w:sz w:val="20"/>
              </w:rPr>
              <w:t>PBI per cápita (USD)</w:t>
            </w:r>
          </w:p>
        </w:tc>
        <w:tc>
          <w:tcPr>
            <w:tcW w:w="1596" w:type="dxa"/>
          </w:tcPr>
          <w:p w:rsidR="007B1909" w:rsidRPr="00117225" w:rsidRDefault="00117225" w:rsidP="00117225">
            <w:pPr>
              <w:cnfStyle w:val="000000100000" w:firstRow="0" w:lastRow="0" w:firstColumn="0" w:lastColumn="0" w:oddVBand="0" w:evenVBand="0" w:oddHBand="1" w:evenHBand="0" w:firstRowFirstColumn="0" w:firstRowLastColumn="0" w:lastRowFirstColumn="0" w:lastRowLastColumn="0"/>
              <w:rPr>
                <w:color w:val="auto"/>
              </w:rPr>
            </w:pPr>
            <w:r w:rsidRPr="00117225">
              <w:rPr>
                <w:color w:val="auto"/>
              </w:rPr>
              <w:t>971</w:t>
            </w:r>
          </w:p>
        </w:tc>
        <w:tc>
          <w:tcPr>
            <w:tcW w:w="2000" w:type="dxa"/>
          </w:tcPr>
          <w:p w:rsidR="007B1909" w:rsidRDefault="007B1909" w:rsidP="007B1909">
            <w:pPr>
              <w:cnfStyle w:val="000000100000" w:firstRow="0" w:lastRow="0" w:firstColumn="0" w:lastColumn="0" w:oddVBand="0" w:evenVBand="0" w:oddHBand="1" w:evenHBand="0" w:firstRowFirstColumn="0" w:firstRowLastColumn="0" w:lastRowFirstColumn="0" w:lastRowLastColumn="0"/>
            </w:pPr>
            <w:r>
              <w:t>Promedio 1992-2008</w:t>
            </w:r>
          </w:p>
        </w:tc>
        <w:tc>
          <w:tcPr>
            <w:tcW w:w="2196" w:type="dxa"/>
          </w:tcPr>
          <w:p w:rsidR="007B1909" w:rsidRPr="00246EDF" w:rsidRDefault="007B1909" w:rsidP="007B1909">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Paraguay en el Mercosur- Asimetrías Internas y Política comercial externa</w:t>
            </w:r>
          </w:p>
        </w:tc>
      </w:tr>
      <w:tr w:rsidR="007B1909" w:rsidTr="007B1909">
        <w:trPr>
          <w:trHeight w:val="214"/>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color w:val="auto"/>
              </w:rPr>
            </w:pPr>
            <w:r w:rsidRPr="00587842">
              <w:rPr>
                <w:b/>
                <w:color w:val="auto"/>
              </w:rPr>
              <w:t>IDH</w:t>
            </w:r>
          </w:p>
        </w:tc>
        <w:tc>
          <w:tcPr>
            <w:tcW w:w="4217" w:type="dxa"/>
          </w:tcPr>
          <w:p w:rsidR="007B1909" w:rsidRDefault="007B1909" w:rsidP="007B1909">
            <w:pPr>
              <w:cnfStyle w:val="000000000000" w:firstRow="0" w:lastRow="0" w:firstColumn="0" w:lastColumn="0" w:oddVBand="0" w:evenVBand="0" w:oddHBand="0" w:evenHBand="0" w:firstRowFirstColumn="0" w:firstRowLastColumn="0" w:lastRowFirstColumn="0" w:lastRowLastColumn="0"/>
            </w:pPr>
            <w:r>
              <w:t>Índice de Desarrollo Humano</w:t>
            </w:r>
          </w:p>
        </w:tc>
        <w:tc>
          <w:tcPr>
            <w:tcW w:w="1596" w:type="dxa"/>
          </w:tcPr>
          <w:p w:rsidR="007B1909" w:rsidRPr="00117225" w:rsidRDefault="007B1909" w:rsidP="00117225">
            <w:pPr>
              <w:cnfStyle w:val="000000000000" w:firstRow="0" w:lastRow="0" w:firstColumn="0" w:lastColumn="0" w:oddVBand="0" w:evenVBand="0" w:oddHBand="0" w:evenHBand="0" w:firstRowFirstColumn="0" w:firstRowLastColumn="0" w:lastRowFirstColumn="0" w:lastRowLastColumn="0"/>
              <w:rPr>
                <w:color w:val="auto"/>
              </w:rPr>
            </w:pPr>
            <w:r w:rsidRPr="00117225">
              <w:rPr>
                <w:color w:val="auto"/>
              </w:rPr>
              <w:t>0,</w:t>
            </w:r>
            <w:r w:rsidR="00117225" w:rsidRPr="00117225">
              <w:rPr>
                <w:color w:val="auto"/>
              </w:rPr>
              <w:t>456</w:t>
            </w:r>
          </w:p>
        </w:tc>
        <w:tc>
          <w:tcPr>
            <w:tcW w:w="2000" w:type="dxa"/>
          </w:tcPr>
          <w:p w:rsidR="007B1909" w:rsidRDefault="008674F3" w:rsidP="007B1909">
            <w:pPr>
              <w:cnfStyle w:val="000000000000" w:firstRow="0" w:lastRow="0" w:firstColumn="0" w:lastColumn="0" w:oddVBand="0" w:evenVBand="0" w:oddHBand="0" w:evenHBand="0" w:firstRowFirstColumn="0" w:firstRowLastColumn="0" w:lastRowFirstColumn="0" w:lastRowLastColumn="0"/>
            </w:pPr>
            <w:r>
              <w:t>2009</w:t>
            </w:r>
          </w:p>
        </w:tc>
        <w:tc>
          <w:tcPr>
            <w:tcW w:w="2196" w:type="dxa"/>
          </w:tcPr>
          <w:p w:rsidR="007B1909" w:rsidRPr="00246EDF" w:rsidRDefault="007B1909" w:rsidP="007B1909">
            <w:pPr>
              <w:cnfStyle w:val="000000000000" w:firstRow="0" w:lastRow="0" w:firstColumn="0" w:lastColumn="0" w:oddVBand="0" w:evenVBand="0" w:oddHBand="0" w:evenHBand="0" w:firstRowFirstColumn="0" w:firstRowLastColumn="0" w:lastRowFirstColumn="0" w:lastRowLastColumn="0"/>
              <w:rPr>
                <w:sz w:val="18"/>
              </w:rPr>
            </w:pPr>
            <w:r w:rsidRPr="00246EDF">
              <w:rPr>
                <w:sz w:val="18"/>
              </w:rPr>
              <w:t>Atlas de Desarrollo Humano de Paraguay</w:t>
            </w:r>
          </w:p>
        </w:tc>
      </w:tr>
      <w:tr w:rsidR="007B1909" w:rsidTr="007B1909">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color w:val="auto"/>
              </w:rPr>
            </w:pPr>
            <w:r>
              <w:rPr>
                <w:b/>
                <w:color w:val="auto"/>
              </w:rPr>
              <w:t>Empresas</w:t>
            </w:r>
          </w:p>
        </w:tc>
        <w:tc>
          <w:tcPr>
            <w:tcW w:w="4217" w:type="dxa"/>
          </w:tcPr>
          <w:p w:rsidR="007B1909" w:rsidRPr="00587842" w:rsidRDefault="007B1909" w:rsidP="007B1909">
            <w:pPr>
              <w:cnfStyle w:val="000000100000" w:firstRow="0" w:lastRow="0" w:firstColumn="0" w:lastColumn="0" w:oddVBand="0" w:evenVBand="0" w:oddHBand="1" w:evenHBand="0" w:firstRowFirstColumn="0" w:firstRowLastColumn="0" w:lastRowFirstColumn="0" w:lastRowLastColumn="0"/>
              <w:rPr>
                <w:i/>
                <w:sz w:val="20"/>
              </w:rPr>
            </w:pPr>
            <w:r>
              <w:rPr>
                <w:i/>
                <w:sz w:val="20"/>
              </w:rPr>
              <w:t>Unidades económicas no financieras</w:t>
            </w:r>
          </w:p>
        </w:tc>
        <w:tc>
          <w:tcPr>
            <w:tcW w:w="1596" w:type="dxa"/>
          </w:tcPr>
          <w:p w:rsidR="007B1909" w:rsidRPr="00117225" w:rsidRDefault="00ED7FDB" w:rsidP="007B1909">
            <w:pPr>
              <w:cnfStyle w:val="000000100000" w:firstRow="0" w:lastRow="0" w:firstColumn="0" w:lastColumn="0" w:oddVBand="0" w:evenVBand="0" w:oddHBand="1" w:evenHBand="0" w:firstRowFirstColumn="0" w:firstRowLastColumn="0" w:lastRowFirstColumn="0" w:lastRowLastColumn="0"/>
              <w:rPr>
                <w:color w:val="auto"/>
              </w:rPr>
            </w:pPr>
            <w:r w:rsidRPr="00117225">
              <w:rPr>
                <w:color w:val="auto"/>
              </w:rPr>
              <w:t>155</w:t>
            </w:r>
          </w:p>
        </w:tc>
        <w:tc>
          <w:tcPr>
            <w:tcW w:w="2000" w:type="dxa"/>
          </w:tcPr>
          <w:p w:rsidR="007B1909" w:rsidRPr="0008026B" w:rsidRDefault="007B1909" w:rsidP="007B1909">
            <w:pPr>
              <w:cnfStyle w:val="000000100000" w:firstRow="0" w:lastRow="0" w:firstColumn="0" w:lastColumn="0" w:oddVBand="0" w:evenVBand="0" w:oddHBand="1" w:evenHBand="0" w:firstRowFirstColumn="0" w:firstRowLastColumn="0" w:lastRowFirstColumn="0" w:lastRowLastColumn="0"/>
              <w:rPr>
                <w:color w:val="auto"/>
              </w:rPr>
            </w:pPr>
            <w:r w:rsidRPr="0008026B">
              <w:rPr>
                <w:color w:val="auto"/>
              </w:rPr>
              <w:t>2010</w:t>
            </w:r>
          </w:p>
        </w:tc>
        <w:tc>
          <w:tcPr>
            <w:tcW w:w="2196" w:type="dxa"/>
          </w:tcPr>
          <w:p w:rsidR="007B1909" w:rsidRPr="00246EDF" w:rsidRDefault="007B1909" w:rsidP="007B1909">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 xml:space="preserve">CEN </w:t>
            </w:r>
          </w:p>
        </w:tc>
      </w:tr>
      <w:tr w:rsidR="007B1909" w:rsidTr="007B1909">
        <w:trPr>
          <w:trHeight w:val="392"/>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Pr="00587842" w:rsidRDefault="007B1909" w:rsidP="007B1909">
            <w:pPr>
              <w:rPr>
                <w:b/>
              </w:rPr>
            </w:pPr>
            <w:r>
              <w:rPr>
                <w:b/>
                <w:color w:val="auto"/>
              </w:rPr>
              <w:t>Pobreza</w:t>
            </w:r>
          </w:p>
        </w:tc>
        <w:tc>
          <w:tcPr>
            <w:tcW w:w="4217" w:type="dxa"/>
          </w:tcPr>
          <w:p w:rsidR="007B1909" w:rsidRPr="00587842" w:rsidRDefault="007B1909" w:rsidP="007B1909">
            <w:pPr>
              <w:cnfStyle w:val="000000000000" w:firstRow="0" w:lastRow="0" w:firstColumn="0" w:lastColumn="0" w:oddVBand="0" w:evenVBand="0" w:oddHBand="0" w:evenHBand="0" w:firstRowFirstColumn="0" w:firstRowLastColumn="0" w:lastRowFirstColumn="0" w:lastRowLastColumn="0"/>
              <w:rPr>
                <w:i/>
                <w:sz w:val="20"/>
              </w:rPr>
            </w:pPr>
            <w:r>
              <w:rPr>
                <w:i/>
                <w:sz w:val="20"/>
              </w:rPr>
              <w:t>Población pobre (%)</w:t>
            </w:r>
          </w:p>
        </w:tc>
        <w:tc>
          <w:tcPr>
            <w:tcW w:w="1596" w:type="dxa"/>
          </w:tcPr>
          <w:p w:rsidR="007B1909" w:rsidRPr="00117225" w:rsidRDefault="00ED7FDB" w:rsidP="00ED7FDB">
            <w:pPr>
              <w:cnfStyle w:val="000000000000" w:firstRow="0" w:lastRow="0" w:firstColumn="0" w:lastColumn="0" w:oddVBand="0" w:evenVBand="0" w:oddHBand="0" w:evenHBand="0" w:firstRowFirstColumn="0" w:firstRowLastColumn="0" w:lastRowFirstColumn="0" w:lastRowLastColumn="0"/>
              <w:rPr>
                <w:color w:val="auto"/>
              </w:rPr>
            </w:pPr>
            <w:r w:rsidRPr="00117225">
              <w:rPr>
                <w:color w:val="auto"/>
              </w:rPr>
              <w:t>44</w:t>
            </w:r>
            <w:r w:rsidR="00D439ED" w:rsidRPr="00117225">
              <w:rPr>
                <w:color w:val="auto"/>
              </w:rPr>
              <w:t>,</w:t>
            </w:r>
            <w:r w:rsidRPr="00117225">
              <w:rPr>
                <w:color w:val="auto"/>
              </w:rPr>
              <w:t>6</w:t>
            </w:r>
            <w:r w:rsidR="007B1909" w:rsidRPr="00117225">
              <w:rPr>
                <w:color w:val="auto"/>
              </w:rPr>
              <w:t>%</w:t>
            </w:r>
          </w:p>
        </w:tc>
        <w:tc>
          <w:tcPr>
            <w:tcW w:w="2000" w:type="dxa"/>
          </w:tcPr>
          <w:p w:rsidR="007B1909" w:rsidRPr="0008026B" w:rsidRDefault="007B1909" w:rsidP="007B1909">
            <w:pPr>
              <w:cnfStyle w:val="000000000000" w:firstRow="0" w:lastRow="0" w:firstColumn="0" w:lastColumn="0" w:oddVBand="0" w:evenVBand="0" w:oddHBand="0" w:evenHBand="0" w:firstRowFirstColumn="0" w:firstRowLastColumn="0" w:lastRowFirstColumn="0" w:lastRowLastColumn="0"/>
              <w:rPr>
                <w:color w:val="auto"/>
              </w:rPr>
            </w:pPr>
            <w:r w:rsidRPr="0008026B">
              <w:rPr>
                <w:color w:val="auto"/>
              </w:rPr>
              <w:t>2010</w:t>
            </w:r>
          </w:p>
        </w:tc>
        <w:tc>
          <w:tcPr>
            <w:tcW w:w="2196" w:type="dxa"/>
          </w:tcPr>
          <w:p w:rsidR="007B1909" w:rsidRPr="00246EDF" w:rsidRDefault="007B1909" w:rsidP="007B1909">
            <w:pPr>
              <w:cnfStyle w:val="000000000000" w:firstRow="0" w:lastRow="0" w:firstColumn="0" w:lastColumn="0" w:oddVBand="0" w:evenVBand="0" w:oddHBand="0" w:evenHBand="0" w:firstRowFirstColumn="0" w:firstRowLastColumn="0" w:lastRowFirstColumn="0" w:lastRowLastColumn="0"/>
              <w:rPr>
                <w:sz w:val="18"/>
              </w:rPr>
            </w:pPr>
            <w:r w:rsidRPr="00246EDF">
              <w:rPr>
                <w:sz w:val="18"/>
              </w:rPr>
              <w:t>DGEEC</w:t>
            </w:r>
          </w:p>
        </w:tc>
      </w:tr>
      <w:tr w:rsidR="007B1909" w:rsidTr="007B1909">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311" w:type="dxa"/>
            <w:shd w:val="clear" w:color="auto" w:fill="95B3D7" w:themeFill="accent1" w:themeFillTint="99"/>
          </w:tcPr>
          <w:p w:rsidR="007B1909" w:rsidRDefault="007B1909" w:rsidP="007B1909">
            <w:pPr>
              <w:rPr>
                <w:b/>
              </w:rPr>
            </w:pPr>
            <w:r w:rsidRPr="00617B41">
              <w:rPr>
                <w:b/>
                <w:color w:val="auto"/>
              </w:rPr>
              <w:t>Ingresos</w:t>
            </w:r>
          </w:p>
        </w:tc>
        <w:tc>
          <w:tcPr>
            <w:tcW w:w="4217" w:type="dxa"/>
          </w:tcPr>
          <w:p w:rsidR="007B1909" w:rsidRDefault="007B1909" w:rsidP="007B1909">
            <w:pPr>
              <w:cnfStyle w:val="000000100000" w:firstRow="0" w:lastRow="0" w:firstColumn="0" w:lastColumn="0" w:oddVBand="0" w:evenVBand="0" w:oddHBand="1" w:evenHBand="0" w:firstRowFirstColumn="0" w:firstRowLastColumn="0" w:lastRowFirstColumn="0" w:lastRowLastColumn="0"/>
              <w:rPr>
                <w:i/>
                <w:sz w:val="20"/>
              </w:rPr>
            </w:pPr>
            <w:r>
              <w:rPr>
                <w:i/>
                <w:sz w:val="20"/>
              </w:rPr>
              <w:t xml:space="preserve">Ingreso promedio mensual (en </w:t>
            </w:r>
            <w:proofErr w:type="spellStart"/>
            <w:r>
              <w:rPr>
                <w:i/>
                <w:sz w:val="20"/>
              </w:rPr>
              <w:t>Grs</w:t>
            </w:r>
            <w:proofErr w:type="spellEnd"/>
            <w:r>
              <w:rPr>
                <w:i/>
                <w:sz w:val="20"/>
              </w:rPr>
              <w:t>)</w:t>
            </w:r>
          </w:p>
        </w:tc>
        <w:tc>
          <w:tcPr>
            <w:tcW w:w="1596" w:type="dxa"/>
          </w:tcPr>
          <w:p w:rsidR="007B1909" w:rsidRPr="00117225" w:rsidRDefault="00117225" w:rsidP="00117225">
            <w:pPr>
              <w:cnfStyle w:val="000000100000" w:firstRow="0" w:lastRow="0" w:firstColumn="0" w:lastColumn="0" w:oddVBand="0" w:evenVBand="0" w:oddHBand="1" w:evenHBand="0" w:firstRowFirstColumn="0" w:firstRowLastColumn="0" w:lastRowFirstColumn="0" w:lastRowLastColumn="0"/>
              <w:rPr>
                <w:color w:val="auto"/>
              </w:rPr>
            </w:pPr>
            <w:r w:rsidRPr="00117225">
              <w:rPr>
                <w:color w:val="auto"/>
              </w:rPr>
              <w:t>612</w:t>
            </w:r>
            <w:r w:rsidR="007B1909" w:rsidRPr="00117225">
              <w:rPr>
                <w:color w:val="auto"/>
              </w:rPr>
              <w:t>.</w:t>
            </w:r>
            <w:r w:rsidRPr="00117225">
              <w:rPr>
                <w:color w:val="auto"/>
              </w:rPr>
              <w:t>179</w:t>
            </w:r>
          </w:p>
        </w:tc>
        <w:tc>
          <w:tcPr>
            <w:tcW w:w="2000" w:type="dxa"/>
          </w:tcPr>
          <w:p w:rsidR="007B1909" w:rsidRPr="0008026B" w:rsidRDefault="007B1909" w:rsidP="007B1909">
            <w:pPr>
              <w:cnfStyle w:val="000000100000" w:firstRow="0" w:lastRow="0" w:firstColumn="0" w:lastColumn="0" w:oddVBand="0" w:evenVBand="0" w:oddHBand="1" w:evenHBand="0" w:firstRowFirstColumn="0" w:firstRowLastColumn="0" w:lastRowFirstColumn="0" w:lastRowLastColumn="0"/>
              <w:rPr>
                <w:color w:val="auto"/>
              </w:rPr>
            </w:pPr>
            <w:r w:rsidRPr="0008026B">
              <w:rPr>
                <w:color w:val="auto"/>
              </w:rPr>
              <w:t>2010</w:t>
            </w:r>
          </w:p>
        </w:tc>
        <w:tc>
          <w:tcPr>
            <w:tcW w:w="2196" w:type="dxa"/>
          </w:tcPr>
          <w:p w:rsidR="007B1909" w:rsidRPr="00246EDF" w:rsidRDefault="007B1909" w:rsidP="007B1909">
            <w:pPr>
              <w:cnfStyle w:val="000000100000" w:firstRow="0" w:lastRow="0" w:firstColumn="0" w:lastColumn="0" w:oddVBand="0" w:evenVBand="0" w:oddHBand="1" w:evenHBand="0" w:firstRowFirstColumn="0" w:firstRowLastColumn="0" w:lastRowFirstColumn="0" w:lastRowLastColumn="0"/>
              <w:rPr>
                <w:sz w:val="18"/>
              </w:rPr>
            </w:pPr>
            <w:r w:rsidRPr="00246EDF">
              <w:rPr>
                <w:sz w:val="18"/>
              </w:rPr>
              <w:t>DGEEC</w:t>
            </w:r>
          </w:p>
        </w:tc>
      </w:tr>
    </w:tbl>
    <w:p w:rsidR="00992B51" w:rsidRDefault="00992B51" w:rsidP="00992B51"/>
    <w:p w:rsidR="001E120D" w:rsidRDefault="0071791C" w:rsidP="00992B51">
      <w:pPr>
        <w:rPr>
          <w:rStyle w:val="nfasis"/>
          <w:b/>
        </w:rPr>
      </w:pPr>
      <w:bookmarkStart w:id="0" w:name="_GoBack"/>
      <w:r>
        <w:rPr>
          <w:noProof/>
          <w:lang w:eastAsia="es-AR"/>
        </w:rPr>
        <w:drawing>
          <wp:anchor distT="0" distB="0" distL="114300" distR="114300" simplePos="0" relativeHeight="251683840" behindDoc="1" locked="0" layoutInCell="1" allowOverlap="1">
            <wp:simplePos x="0" y="0"/>
            <wp:positionH relativeFrom="column">
              <wp:posOffset>-723559</wp:posOffset>
            </wp:positionH>
            <wp:positionV relativeFrom="paragraph">
              <wp:posOffset>77424</wp:posOffset>
            </wp:positionV>
            <wp:extent cx="3579541" cy="2196790"/>
            <wp:effectExtent l="0" t="0" r="20955" b="13335"/>
            <wp:wrapNone/>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bookmarkEnd w:id="0"/>
    </w:p>
    <w:p w:rsidR="001E120D" w:rsidRDefault="001E120D" w:rsidP="00992B51">
      <w:pPr>
        <w:rPr>
          <w:rStyle w:val="nfasis"/>
          <w:b/>
        </w:rPr>
      </w:pPr>
    </w:p>
    <w:p w:rsidR="001E120D" w:rsidRDefault="001E120D" w:rsidP="00992B51">
      <w:pPr>
        <w:rPr>
          <w:rStyle w:val="nfasis"/>
          <w:b/>
        </w:rPr>
      </w:pPr>
    </w:p>
    <w:p w:rsidR="001E120D" w:rsidRDefault="001E120D" w:rsidP="00992B51">
      <w:pPr>
        <w:rPr>
          <w:rStyle w:val="nfasis"/>
          <w:b/>
        </w:rPr>
      </w:pPr>
    </w:p>
    <w:p w:rsidR="007B1909" w:rsidRDefault="007B1909" w:rsidP="007B1909">
      <w:pPr>
        <w:spacing w:line="240" w:lineRule="auto"/>
        <w:ind w:right="-1180"/>
        <w:rPr>
          <w:rStyle w:val="nfasis"/>
          <w:b/>
        </w:rPr>
      </w:pPr>
    </w:p>
    <w:p w:rsidR="00655406" w:rsidRDefault="00655406" w:rsidP="007B1909">
      <w:pPr>
        <w:spacing w:line="240" w:lineRule="auto"/>
        <w:ind w:right="-1180"/>
        <w:rPr>
          <w:rStyle w:val="nfasis"/>
          <w:b/>
        </w:rPr>
      </w:pPr>
    </w:p>
    <w:p w:rsidR="00655406" w:rsidRDefault="00655406" w:rsidP="007B1909">
      <w:pPr>
        <w:spacing w:line="240" w:lineRule="auto"/>
        <w:ind w:right="-1180"/>
        <w:rPr>
          <w:rStyle w:val="nfasis"/>
          <w:b/>
        </w:rPr>
      </w:pPr>
    </w:p>
    <w:p w:rsidR="00655406" w:rsidRDefault="00655406" w:rsidP="007B1909">
      <w:pPr>
        <w:spacing w:line="240" w:lineRule="auto"/>
        <w:ind w:right="-1180"/>
        <w:rPr>
          <w:rStyle w:val="nfasis"/>
          <w:b/>
        </w:rPr>
      </w:pPr>
    </w:p>
    <w:p w:rsidR="00655406" w:rsidRDefault="00655406" w:rsidP="007B1909">
      <w:pPr>
        <w:spacing w:line="240" w:lineRule="auto"/>
        <w:ind w:right="-1180"/>
        <w:rPr>
          <w:rStyle w:val="nfasis"/>
          <w:b/>
        </w:rPr>
      </w:pPr>
    </w:p>
    <w:p w:rsidR="00655406" w:rsidRDefault="00655406" w:rsidP="007B1909">
      <w:pPr>
        <w:spacing w:line="240" w:lineRule="auto"/>
        <w:ind w:right="-1180"/>
        <w:rPr>
          <w:rStyle w:val="nfasis"/>
          <w:b/>
        </w:rPr>
      </w:pPr>
    </w:p>
    <w:p w:rsidR="008674F3" w:rsidRDefault="008674F3" w:rsidP="007B1909">
      <w:pPr>
        <w:spacing w:line="240" w:lineRule="auto"/>
        <w:ind w:right="-1180"/>
        <w:rPr>
          <w:rStyle w:val="nfasis"/>
          <w:b/>
        </w:rPr>
      </w:pPr>
    </w:p>
    <w:p w:rsidR="008A4C4E" w:rsidRDefault="008A4C4E" w:rsidP="00C01688">
      <w:pPr>
        <w:pStyle w:val="NormalWeb"/>
        <w:shd w:val="clear" w:color="auto" w:fill="FFFFFF"/>
        <w:spacing w:before="120" w:beforeAutospacing="0" w:after="120" w:afterAutospacing="0"/>
        <w:ind w:right="-1038"/>
        <w:rPr>
          <w:i/>
        </w:rPr>
      </w:pPr>
      <w:r>
        <w:rPr>
          <w:rStyle w:val="nfasis"/>
          <w:b/>
        </w:rPr>
        <w:t>Principales cadenas productivas:</w:t>
      </w:r>
      <w:r w:rsidR="00661135" w:rsidRPr="00661135">
        <w:rPr>
          <w:i/>
        </w:rPr>
        <w:t> </w:t>
      </w:r>
      <w:r w:rsidR="00B45675">
        <w:rPr>
          <w:i/>
        </w:rPr>
        <w:t xml:space="preserve"> </w:t>
      </w:r>
    </w:p>
    <w:p w:rsidR="00EF2342" w:rsidRPr="0071791C" w:rsidRDefault="0071791C" w:rsidP="0071791C">
      <w:pPr>
        <w:pStyle w:val="NormalWeb"/>
        <w:shd w:val="clear" w:color="auto" w:fill="FFFFFF"/>
        <w:spacing w:before="120" w:beforeAutospacing="0" w:after="120" w:afterAutospacing="0"/>
        <w:ind w:left="-142" w:right="-1322"/>
        <w:rPr>
          <w:rStyle w:val="nfasis"/>
        </w:rPr>
      </w:pPr>
      <w:r w:rsidRPr="0071791C">
        <w:rPr>
          <w:rStyle w:val="nfasis"/>
        </w:rPr>
        <w:t>La actividad más importante es la ganadería, extensiva en las sabanas del Bajo Chaco en el este del Departamento, intensiva en las pasturas para engorde, implantadas en los suelos más fértiles de tierras anteriormente desmontadas. Un desarrollo más reciente es la introducción de la agricultura con cultivos de sorgo, soja, caña dulce, mientras con algodón se empezaba hace décadas. El turismo practicado por los brasileños a través de la pesca deportiva, en los últimos años, ha generado buen dividendo a varias comunidades, cuyos pobladores se dedican a la venta de señuelos e implementos para la pesca, sin embargo, este rubro en estos tiempos se ha resentido tremendamente como consecuencia de la escasez de peces</w:t>
      </w:r>
      <w:r>
        <w:rPr>
          <w:rStyle w:val="nfasis"/>
        </w:rPr>
        <w:t>.</w:t>
      </w:r>
      <w:r w:rsidRPr="0071791C">
        <w:rPr>
          <w:rStyle w:val="nfasis"/>
        </w:rPr>
        <w:t xml:space="preserve"> </w:t>
      </w:r>
    </w:p>
    <w:sectPr w:rsidR="00EF2342" w:rsidRPr="0071791C" w:rsidSect="0071791C">
      <w:type w:val="continuous"/>
      <w:pgSz w:w="12240" w:h="15840"/>
      <w:pgMar w:top="1417" w:right="1701" w:bottom="1417" w:left="1701" w:header="708" w:footer="708" w:gutter="0"/>
      <w:cols w:num="2" w:space="10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51"/>
    <w:rsid w:val="00014B30"/>
    <w:rsid w:val="0004156B"/>
    <w:rsid w:val="00074B6F"/>
    <w:rsid w:val="000F4533"/>
    <w:rsid w:val="00117225"/>
    <w:rsid w:val="001C297D"/>
    <w:rsid w:val="001E120D"/>
    <w:rsid w:val="002624EE"/>
    <w:rsid w:val="002B5906"/>
    <w:rsid w:val="002B5C21"/>
    <w:rsid w:val="003729DB"/>
    <w:rsid w:val="00375222"/>
    <w:rsid w:val="00376EFA"/>
    <w:rsid w:val="003B06B6"/>
    <w:rsid w:val="00423909"/>
    <w:rsid w:val="00440987"/>
    <w:rsid w:val="00485D9F"/>
    <w:rsid w:val="005214D9"/>
    <w:rsid w:val="00655406"/>
    <w:rsid w:val="00661135"/>
    <w:rsid w:val="006803DD"/>
    <w:rsid w:val="006B378A"/>
    <w:rsid w:val="006D3A61"/>
    <w:rsid w:val="006E2175"/>
    <w:rsid w:val="0071791C"/>
    <w:rsid w:val="00776CEF"/>
    <w:rsid w:val="007B1909"/>
    <w:rsid w:val="007D14A6"/>
    <w:rsid w:val="007F1372"/>
    <w:rsid w:val="0084624A"/>
    <w:rsid w:val="00864C1E"/>
    <w:rsid w:val="008674F3"/>
    <w:rsid w:val="0087051D"/>
    <w:rsid w:val="00885A3F"/>
    <w:rsid w:val="008A4C4E"/>
    <w:rsid w:val="008E39EB"/>
    <w:rsid w:val="009015F9"/>
    <w:rsid w:val="00936668"/>
    <w:rsid w:val="00992B51"/>
    <w:rsid w:val="009C7239"/>
    <w:rsid w:val="009F5B34"/>
    <w:rsid w:val="00A775BC"/>
    <w:rsid w:val="00B00730"/>
    <w:rsid w:val="00B03C9A"/>
    <w:rsid w:val="00B177FD"/>
    <w:rsid w:val="00B45675"/>
    <w:rsid w:val="00BE68C3"/>
    <w:rsid w:val="00C01688"/>
    <w:rsid w:val="00C04A98"/>
    <w:rsid w:val="00C2243C"/>
    <w:rsid w:val="00CA5366"/>
    <w:rsid w:val="00CD72B1"/>
    <w:rsid w:val="00D37283"/>
    <w:rsid w:val="00D439ED"/>
    <w:rsid w:val="00D849AF"/>
    <w:rsid w:val="00E37899"/>
    <w:rsid w:val="00EC3E5D"/>
    <w:rsid w:val="00ED7FDB"/>
    <w:rsid w:val="00EE355E"/>
    <w:rsid w:val="00F14BD5"/>
    <w:rsid w:val="00FA5587"/>
    <w:rsid w:val="00FA784B"/>
    <w:rsid w:val="00FD69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5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992B51"/>
    <w:rPr>
      <w:i/>
      <w:iCs/>
      <w:color w:val="808080" w:themeColor="text1" w:themeTint="7F"/>
    </w:rPr>
  </w:style>
  <w:style w:type="paragraph" w:styleId="Subttulo">
    <w:name w:val="Subtitle"/>
    <w:basedOn w:val="Normal"/>
    <w:next w:val="Normal"/>
    <w:link w:val="SubttuloCar"/>
    <w:uiPriority w:val="11"/>
    <w:qFormat/>
    <w:rsid w:val="00992B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92B5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992B51"/>
    <w:rPr>
      <w:i/>
      <w:iCs/>
    </w:rPr>
  </w:style>
  <w:style w:type="table" w:styleId="Cuadrculavistosa-nfasis1">
    <w:name w:val="Colorful Grid Accent 1"/>
    <w:basedOn w:val="Tablanormal"/>
    <w:uiPriority w:val="73"/>
    <w:rsid w:val="00992B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odeglobo">
    <w:name w:val="Balloon Text"/>
    <w:basedOn w:val="Normal"/>
    <w:link w:val="TextodegloboCar"/>
    <w:uiPriority w:val="99"/>
    <w:semiHidden/>
    <w:unhideWhenUsed/>
    <w:rsid w:val="001E12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0D"/>
    <w:rPr>
      <w:rFonts w:ascii="Tahoma" w:hAnsi="Tahoma" w:cs="Tahoma"/>
      <w:sz w:val="16"/>
      <w:szCs w:val="16"/>
    </w:rPr>
  </w:style>
  <w:style w:type="character" w:customStyle="1" w:styleId="apple-converted-space">
    <w:name w:val="apple-converted-space"/>
    <w:basedOn w:val="Fuentedeprrafopredeter"/>
    <w:rsid w:val="007B1909"/>
  </w:style>
  <w:style w:type="character" w:styleId="Hipervnculo">
    <w:name w:val="Hyperlink"/>
    <w:basedOn w:val="Fuentedeprrafopredeter"/>
    <w:uiPriority w:val="99"/>
    <w:unhideWhenUsed/>
    <w:rsid w:val="007B1909"/>
    <w:rPr>
      <w:color w:val="0000FF"/>
      <w:u w:val="single"/>
    </w:rPr>
  </w:style>
  <w:style w:type="paragraph" w:styleId="NormalWeb">
    <w:name w:val="Normal (Web)"/>
    <w:basedOn w:val="Normal"/>
    <w:uiPriority w:val="99"/>
    <w:unhideWhenUsed/>
    <w:rsid w:val="00E3789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5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992B51"/>
    <w:rPr>
      <w:i/>
      <w:iCs/>
      <w:color w:val="808080" w:themeColor="text1" w:themeTint="7F"/>
    </w:rPr>
  </w:style>
  <w:style w:type="paragraph" w:styleId="Subttulo">
    <w:name w:val="Subtitle"/>
    <w:basedOn w:val="Normal"/>
    <w:next w:val="Normal"/>
    <w:link w:val="SubttuloCar"/>
    <w:uiPriority w:val="11"/>
    <w:qFormat/>
    <w:rsid w:val="00992B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92B5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992B51"/>
    <w:rPr>
      <w:i/>
      <w:iCs/>
    </w:rPr>
  </w:style>
  <w:style w:type="table" w:styleId="Cuadrculavistosa-nfasis1">
    <w:name w:val="Colorful Grid Accent 1"/>
    <w:basedOn w:val="Tablanormal"/>
    <w:uiPriority w:val="73"/>
    <w:rsid w:val="00992B5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odeglobo">
    <w:name w:val="Balloon Text"/>
    <w:basedOn w:val="Normal"/>
    <w:link w:val="TextodegloboCar"/>
    <w:uiPriority w:val="99"/>
    <w:semiHidden/>
    <w:unhideWhenUsed/>
    <w:rsid w:val="001E12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20D"/>
    <w:rPr>
      <w:rFonts w:ascii="Tahoma" w:hAnsi="Tahoma" w:cs="Tahoma"/>
      <w:sz w:val="16"/>
      <w:szCs w:val="16"/>
    </w:rPr>
  </w:style>
  <w:style w:type="character" w:customStyle="1" w:styleId="apple-converted-space">
    <w:name w:val="apple-converted-space"/>
    <w:basedOn w:val="Fuentedeprrafopredeter"/>
    <w:rsid w:val="007B1909"/>
  </w:style>
  <w:style w:type="character" w:styleId="Hipervnculo">
    <w:name w:val="Hyperlink"/>
    <w:basedOn w:val="Fuentedeprrafopredeter"/>
    <w:uiPriority w:val="99"/>
    <w:unhideWhenUsed/>
    <w:rsid w:val="007B1909"/>
    <w:rPr>
      <w:color w:val="0000FF"/>
      <w:u w:val="single"/>
    </w:rPr>
  </w:style>
  <w:style w:type="paragraph" w:styleId="NormalWeb">
    <w:name w:val="Normal (Web)"/>
    <w:basedOn w:val="Normal"/>
    <w:uiPriority w:val="99"/>
    <w:unhideWhenUsed/>
    <w:rsid w:val="00E3789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603">
      <w:bodyDiv w:val="1"/>
      <w:marLeft w:val="0"/>
      <w:marRight w:val="0"/>
      <w:marTop w:val="0"/>
      <w:marBottom w:val="0"/>
      <w:divBdr>
        <w:top w:val="none" w:sz="0" w:space="0" w:color="auto"/>
        <w:left w:val="none" w:sz="0" w:space="0" w:color="auto"/>
        <w:bottom w:val="none" w:sz="0" w:space="0" w:color="auto"/>
        <w:right w:val="none" w:sz="0" w:space="0" w:color="auto"/>
      </w:divBdr>
    </w:div>
    <w:div w:id="392042294">
      <w:bodyDiv w:val="1"/>
      <w:marLeft w:val="0"/>
      <w:marRight w:val="0"/>
      <w:marTop w:val="0"/>
      <w:marBottom w:val="0"/>
      <w:divBdr>
        <w:top w:val="none" w:sz="0" w:space="0" w:color="auto"/>
        <w:left w:val="none" w:sz="0" w:space="0" w:color="auto"/>
        <w:bottom w:val="none" w:sz="0" w:space="0" w:color="auto"/>
        <w:right w:val="none" w:sz="0" w:space="0" w:color="auto"/>
      </w:divBdr>
    </w:div>
    <w:div w:id="623196900">
      <w:bodyDiv w:val="1"/>
      <w:marLeft w:val="0"/>
      <w:marRight w:val="0"/>
      <w:marTop w:val="0"/>
      <w:marBottom w:val="0"/>
      <w:divBdr>
        <w:top w:val="none" w:sz="0" w:space="0" w:color="auto"/>
        <w:left w:val="none" w:sz="0" w:space="0" w:color="auto"/>
        <w:bottom w:val="none" w:sz="0" w:space="0" w:color="auto"/>
        <w:right w:val="none" w:sz="0" w:space="0" w:color="auto"/>
      </w:divBdr>
    </w:div>
    <w:div w:id="673722065">
      <w:bodyDiv w:val="1"/>
      <w:marLeft w:val="0"/>
      <w:marRight w:val="0"/>
      <w:marTop w:val="0"/>
      <w:marBottom w:val="0"/>
      <w:divBdr>
        <w:top w:val="none" w:sz="0" w:space="0" w:color="auto"/>
        <w:left w:val="none" w:sz="0" w:space="0" w:color="auto"/>
        <w:bottom w:val="none" w:sz="0" w:space="0" w:color="auto"/>
        <w:right w:val="none" w:sz="0" w:space="0" w:color="auto"/>
      </w:divBdr>
    </w:div>
    <w:div w:id="879980489">
      <w:bodyDiv w:val="1"/>
      <w:marLeft w:val="0"/>
      <w:marRight w:val="0"/>
      <w:marTop w:val="0"/>
      <w:marBottom w:val="0"/>
      <w:divBdr>
        <w:top w:val="none" w:sz="0" w:space="0" w:color="auto"/>
        <w:left w:val="none" w:sz="0" w:space="0" w:color="auto"/>
        <w:bottom w:val="none" w:sz="0" w:space="0" w:color="auto"/>
        <w:right w:val="none" w:sz="0" w:space="0" w:color="auto"/>
      </w:divBdr>
    </w:div>
    <w:div w:id="1356928194">
      <w:bodyDiv w:val="1"/>
      <w:marLeft w:val="0"/>
      <w:marRight w:val="0"/>
      <w:marTop w:val="0"/>
      <w:marBottom w:val="0"/>
      <w:divBdr>
        <w:top w:val="none" w:sz="0" w:space="0" w:color="auto"/>
        <w:left w:val="none" w:sz="0" w:space="0" w:color="auto"/>
        <w:bottom w:val="none" w:sz="0" w:space="0" w:color="auto"/>
        <w:right w:val="none" w:sz="0" w:space="0" w:color="auto"/>
      </w:divBdr>
    </w:div>
    <w:div w:id="1373847750">
      <w:bodyDiv w:val="1"/>
      <w:marLeft w:val="0"/>
      <w:marRight w:val="0"/>
      <w:marTop w:val="0"/>
      <w:marBottom w:val="0"/>
      <w:divBdr>
        <w:top w:val="none" w:sz="0" w:space="0" w:color="auto"/>
        <w:left w:val="none" w:sz="0" w:space="0" w:color="auto"/>
        <w:bottom w:val="none" w:sz="0" w:space="0" w:color="auto"/>
        <w:right w:val="none" w:sz="0" w:space="0" w:color="auto"/>
      </w:divBdr>
    </w:div>
    <w:div w:id="1466461731">
      <w:bodyDiv w:val="1"/>
      <w:marLeft w:val="0"/>
      <w:marRight w:val="0"/>
      <w:marTop w:val="0"/>
      <w:marBottom w:val="0"/>
      <w:divBdr>
        <w:top w:val="none" w:sz="0" w:space="0" w:color="auto"/>
        <w:left w:val="none" w:sz="0" w:space="0" w:color="auto"/>
        <w:bottom w:val="none" w:sz="0" w:space="0" w:color="auto"/>
        <w:right w:val="none" w:sz="0" w:space="0" w:color="auto"/>
      </w:divBdr>
    </w:div>
    <w:div w:id="1532760127">
      <w:bodyDiv w:val="1"/>
      <w:marLeft w:val="0"/>
      <w:marRight w:val="0"/>
      <w:marTop w:val="0"/>
      <w:marBottom w:val="0"/>
      <w:divBdr>
        <w:top w:val="none" w:sz="0" w:space="0" w:color="auto"/>
        <w:left w:val="none" w:sz="0" w:space="0" w:color="auto"/>
        <w:bottom w:val="none" w:sz="0" w:space="0" w:color="auto"/>
        <w:right w:val="none" w:sz="0" w:space="0" w:color="auto"/>
      </w:divBdr>
    </w:div>
    <w:div w:id="1635526285">
      <w:bodyDiv w:val="1"/>
      <w:marLeft w:val="0"/>
      <w:marRight w:val="0"/>
      <w:marTop w:val="0"/>
      <w:marBottom w:val="0"/>
      <w:divBdr>
        <w:top w:val="none" w:sz="0" w:space="0" w:color="auto"/>
        <w:left w:val="none" w:sz="0" w:space="0" w:color="auto"/>
        <w:bottom w:val="none" w:sz="0" w:space="0" w:color="auto"/>
        <w:right w:val="none" w:sz="0" w:space="0" w:color="auto"/>
      </w:divBdr>
    </w:div>
    <w:div w:id="1848716817">
      <w:bodyDiv w:val="1"/>
      <w:marLeft w:val="0"/>
      <w:marRight w:val="0"/>
      <w:marTop w:val="0"/>
      <w:marBottom w:val="0"/>
      <w:divBdr>
        <w:top w:val="none" w:sz="0" w:space="0" w:color="auto"/>
        <w:left w:val="none" w:sz="0" w:space="0" w:color="auto"/>
        <w:bottom w:val="none" w:sz="0" w:space="0" w:color="auto"/>
        <w:right w:val="none" w:sz="0" w:space="0" w:color="auto"/>
      </w:divBdr>
    </w:div>
    <w:div w:id="2083982849">
      <w:bodyDiv w:val="1"/>
      <w:marLeft w:val="0"/>
      <w:marRight w:val="0"/>
      <w:marTop w:val="0"/>
      <w:marBottom w:val="0"/>
      <w:divBdr>
        <w:top w:val="none" w:sz="0" w:space="0" w:color="auto"/>
        <w:left w:val="none" w:sz="0" w:space="0" w:color="auto"/>
        <w:bottom w:val="none" w:sz="0" w:space="0" w:color="auto"/>
        <w:right w:val="none" w:sz="0" w:space="0" w:color="auto"/>
      </w:divBdr>
    </w:div>
    <w:div w:id="21029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bullor\AppData\Roaming\Microsoft\Excel\Datos%20ZICOSUR%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AR" sz="1400"/>
              <a:t>PEA por sectores</a:t>
            </a:r>
          </a:p>
        </c:rich>
      </c:tx>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Hoja1!$C$31:$C$34</c:f>
            </c:numRef>
          </c:val>
        </c:ser>
        <c:ser>
          <c:idx val="1"/>
          <c:order val="1"/>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Hoja1!$D$31:$D$34</c:f>
            </c:numRef>
          </c:val>
        </c:ser>
        <c:ser>
          <c:idx val="2"/>
          <c:order val="2"/>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Hoja1!$E$31:$E$34</c:f>
            </c:numRef>
          </c:val>
        </c:ser>
        <c:ser>
          <c:idx val="3"/>
          <c:order val="3"/>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Hoja1!$F$31:$F$34</c:f>
            </c:numRef>
          </c:val>
        </c:ser>
        <c:ser>
          <c:idx val="4"/>
          <c:order val="4"/>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Hoja1!$G$31:$G$34</c:f>
            </c:numRef>
          </c:val>
        </c:ser>
        <c:ser>
          <c:idx val="5"/>
          <c:order val="5"/>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Hoja1!$H$31:$H$34</c:f>
            </c:numRef>
          </c:val>
        </c:ser>
        <c:ser>
          <c:idx val="6"/>
          <c:order val="6"/>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Hoja1!$I$31:$I$34</c:f>
            </c:numRef>
          </c:val>
        </c:ser>
        <c:ser>
          <c:idx val="7"/>
          <c:order val="7"/>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Hoja1!$J$31:$J$34</c:f>
            </c:numRef>
          </c:val>
        </c:ser>
        <c:ser>
          <c:idx val="8"/>
          <c:order val="8"/>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Hoja1!$K$31:$K$34</c:f>
            </c:numRef>
          </c:val>
        </c:ser>
        <c:ser>
          <c:idx val="9"/>
          <c:order val="9"/>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Hoja1!$L$31:$L$34</c:f>
            </c:numRef>
          </c:val>
        </c:ser>
        <c:ser>
          <c:idx val="10"/>
          <c:order val="10"/>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Hoja1!$M$31:$M$34</c:f>
            </c:numRef>
          </c:val>
        </c:ser>
        <c:ser>
          <c:idx val="11"/>
          <c:order val="11"/>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Hoja1!$N$31:$N$34</c:f>
            </c:numRef>
          </c:val>
        </c:ser>
        <c:ser>
          <c:idx val="12"/>
          <c:order val="12"/>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Hoja1!$O$31:$O$34</c:f>
            </c:numRef>
          </c:val>
        </c:ser>
        <c:ser>
          <c:idx val="13"/>
          <c:order val="13"/>
          <c:explosion val="25"/>
          <c:dLbls>
            <c:showLegendKey val="0"/>
            <c:showVal val="0"/>
            <c:showCatName val="1"/>
            <c:showSerName val="0"/>
            <c:showPercent val="1"/>
            <c:showBubbleSize val="0"/>
            <c:showLeaderLines val="1"/>
          </c:dLbls>
          <c:cat>
            <c:strRef>
              <c:f>Hoja1!$B$31:$B$34</c:f>
              <c:strCache>
                <c:ptCount val="4"/>
                <c:pt idx="0">
                  <c:v>Primario</c:v>
                </c:pt>
                <c:pt idx="1">
                  <c:v>Secundario</c:v>
                </c:pt>
                <c:pt idx="2">
                  <c:v>Terciario</c:v>
                </c:pt>
                <c:pt idx="3">
                  <c:v>Otro</c:v>
                </c:pt>
              </c:strCache>
            </c:strRef>
          </c:cat>
          <c:val>
            <c:numRef>
              <c:f>Hoja1!$P$31:$P$34</c:f>
              <c:numCache>
                <c:formatCode>General</c:formatCode>
                <c:ptCount val="4"/>
                <c:pt idx="0">
                  <c:v>1907</c:v>
                </c:pt>
                <c:pt idx="1">
                  <c:v>503</c:v>
                </c:pt>
                <c:pt idx="2">
                  <c:v>1781</c:v>
                </c:pt>
                <c:pt idx="3">
                  <c:v>62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Bullor</dc:creator>
  <cp:lastModifiedBy>Leandro Bullor</cp:lastModifiedBy>
  <cp:revision>6</cp:revision>
  <dcterms:created xsi:type="dcterms:W3CDTF">2016-11-10T18:42:00Z</dcterms:created>
  <dcterms:modified xsi:type="dcterms:W3CDTF">2016-11-10T18:55:00Z</dcterms:modified>
</cp:coreProperties>
</file>