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2B5906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4216693</wp:posOffset>
            </wp:positionH>
            <wp:positionV relativeFrom="paragraph">
              <wp:posOffset>126117</wp:posOffset>
            </wp:positionV>
            <wp:extent cx="1761003" cy="1906859"/>
            <wp:effectExtent l="0" t="0" r="0" b="0"/>
            <wp:wrapNone/>
            <wp:docPr id="17" name="Imagen 17" descr="Alto Parana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to Parana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90" cy="19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375222">
        <w:t>Alto Paraná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864C1E">
        <w:rPr>
          <w:rStyle w:val="nfasissutil"/>
        </w:rPr>
        <w:t>Ciudad del Este</w:t>
      </w:r>
      <w:bookmarkStart w:id="0" w:name="_GoBack"/>
      <w:bookmarkEnd w:id="0"/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2B5906">
        <w:rPr>
          <w:rStyle w:val="nfasissutil"/>
        </w:rPr>
        <w:t>Minga Guazú</w:t>
      </w:r>
      <w:r w:rsidR="008674F3">
        <w:rPr>
          <w:rStyle w:val="nfasissutil"/>
        </w:rPr>
        <w:t xml:space="preserve">, </w:t>
      </w:r>
      <w:r w:rsidR="002B5906">
        <w:rPr>
          <w:rStyle w:val="nfasissutil"/>
        </w:rPr>
        <w:t>Presidente Franco</w:t>
      </w:r>
      <w:r w:rsidR="008674F3">
        <w:rPr>
          <w:rStyle w:val="nfasissutil"/>
        </w:rPr>
        <w:t>,</w:t>
      </w:r>
      <w:r w:rsidR="002B5906">
        <w:rPr>
          <w:rStyle w:val="nfasissutil"/>
        </w:rPr>
        <w:t xml:space="preserve"> Hernandarias</w:t>
      </w:r>
      <w:r>
        <w:rPr>
          <w:rStyle w:val="nfasissutil"/>
        </w:rPr>
        <w:t xml:space="preserve">  </w:t>
      </w:r>
    </w:p>
    <w:p w:rsidR="00992B51" w:rsidRPr="00587842" w:rsidRDefault="002B5906" w:rsidP="00992B51">
      <w:pPr>
        <w:rPr>
          <w:rStyle w:val="nfasissutil"/>
        </w:rPr>
      </w:pPr>
      <w:r>
        <w:rPr>
          <w:rStyle w:val="nfasissutil"/>
        </w:rPr>
        <w:t>14</w:t>
      </w:r>
      <w:r w:rsidR="00992B51">
        <w:rPr>
          <w:rStyle w:val="nfasissutil"/>
        </w:rPr>
        <w:t>.</w:t>
      </w:r>
      <w:r>
        <w:rPr>
          <w:rStyle w:val="nfasissutil"/>
        </w:rPr>
        <w:t>895</w:t>
      </w:r>
      <w:r w:rsidR="00992B51">
        <w:rPr>
          <w:rStyle w:val="nfasissutil"/>
        </w:rPr>
        <w:t xml:space="preserve"> km2</w:t>
      </w:r>
    </w:p>
    <w:p w:rsidR="00992B51" w:rsidRPr="00587842" w:rsidRDefault="002B5906" w:rsidP="00992B51">
      <w:pPr>
        <w:rPr>
          <w:rStyle w:val="nfasissutil"/>
        </w:rPr>
      </w:pPr>
      <w:r>
        <w:rPr>
          <w:rStyle w:val="nfasissutil"/>
        </w:rPr>
        <w:t>801</w:t>
      </w:r>
      <w:r w:rsidR="00992B51">
        <w:rPr>
          <w:rStyle w:val="nfasissutil"/>
        </w:rPr>
        <w:t xml:space="preserve"> </w:t>
      </w:r>
      <w:r>
        <w:rPr>
          <w:rStyle w:val="nfasissutil"/>
        </w:rPr>
        <w:t>790</w:t>
      </w:r>
      <w:r w:rsidR="00992B51">
        <w:rPr>
          <w:rStyle w:val="nfasissutil"/>
        </w:rPr>
        <w:t xml:space="preserve"> habitantes</w:t>
      </w:r>
    </w:p>
    <w:p w:rsidR="001E120D" w:rsidRDefault="00992B51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Style w:val="nfasissutil"/>
        </w:rPr>
        <w:t xml:space="preserve">Gobernador: </w:t>
      </w:r>
      <w:r w:rsidR="002B5906" w:rsidRPr="002B5906">
        <w:rPr>
          <w:i/>
          <w:iCs/>
          <w:color w:val="808080" w:themeColor="text1" w:themeTint="7F"/>
        </w:rPr>
        <w:t>Justo Zacarías Irún</w:t>
      </w: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864C1E" w:rsidRDefault="00375222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532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864C1E" w:rsidRDefault="00375222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17</w:t>
            </w:r>
            <w:r w:rsidR="008674F3" w:rsidRPr="00864C1E">
              <w:rPr>
                <w:color w:val="auto"/>
              </w:rPr>
              <w:t>,3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864C1E" w:rsidRDefault="00375222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93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864C1E" w:rsidRDefault="00375222" w:rsidP="00375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219</w:t>
            </w:r>
            <w:r w:rsidR="007B1909" w:rsidRPr="00864C1E">
              <w:rPr>
                <w:color w:val="auto"/>
              </w:rPr>
              <w:t>.</w:t>
            </w:r>
            <w:r w:rsidRPr="00864C1E">
              <w:rPr>
                <w:color w:val="auto"/>
              </w:rPr>
              <w:t>098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864C1E" w:rsidRDefault="00375222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902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864C1E" w:rsidRDefault="007B1909" w:rsidP="002B5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0,</w:t>
            </w:r>
            <w:r w:rsidR="002B5906" w:rsidRPr="00864C1E">
              <w:rPr>
                <w:color w:val="auto"/>
              </w:rPr>
              <w:t>744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864C1E" w:rsidRDefault="00375222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35261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864C1E" w:rsidRDefault="002B5906" w:rsidP="0088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26</w:t>
            </w:r>
            <w:r w:rsidR="00D439ED" w:rsidRPr="00864C1E">
              <w:rPr>
                <w:color w:val="auto"/>
              </w:rPr>
              <w:t>,</w:t>
            </w:r>
            <w:r w:rsidRPr="00864C1E">
              <w:rPr>
                <w:color w:val="auto"/>
              </w:rPr>
              <w:t>3</w:t>
            </w:r>
            <w:r w:rsidR="007B1909" w:rsidRPr="00864C1E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864C1E" w:rsidRDefault="002B5906" w:rsidP="002B5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64C1E">
              <w:rPr>
                <w:color w:val="auto"/>
              </w:rPr>
              <w:t>1.456</w:t>
            </w:r>
            <w:r w:rsidR="007B1909" w:rsidRPr="00864C1E">
              <w:rPr>
                <w:color w:val="auto"/>
              </w:rPr>
              <w:t>.</w:t>
            </w:r>
            <w:r w:rsidRPr="00864C1E">
              <w:rPr>
                <w:color w:val="auto"/>
              </w:rPr>
              <w:t>634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2B5906" w:rsidP="00992B51">
      <w:r>
        <w:rPr>
          <w:noProof/>
          <w:lang w:eastAsia="es-AR"/>
        </w:rPr>
        <w:drawing>
          <wp:anchor distT="0" distB="0" distL="114300" distR="114300" simplePos="0" relativeHeight="251671552" behindDoc="1" locked="0" layoutInCell="1" allowOverlap="1" wp14:anchorId="133D9C1A" wp14:editId="3D9A4E10">
            <wp:simplePos x="0" y="0"/>
            <wp:positionH relativeFrom="column">
              <wp:posOffset>-545465</wp:posOffset>
            </wp:positionH>
            <wp:positionV relativeFrom="paragraph">
              <wp:posOffset>3374390</wp:posOffset>
            </wp:positionV>
            <wp:extent cx="3166745" cy="2051685"/>
            <wp:effectExtent l="0" t="0" r="14605" b="24765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EF2342" w:rsidRPr="001E120D" w:rsidRDefault="00992B51" w:rsidP="002B5906">
      <w:pPr>
        <w:pStyle w:val="NormalWeb"/>
        <w:shd w:val="clear" w:color="auto" w:fill="FFFFFF"/>
        <w:spacing w:before="120" w:beforeAutospacing="0" w:after="120" w:afterAutospacing="0"/>
        <w:ind w:right="-1322"/>
        <w:rPr>
          <w:i/>
          <w:iCs/>
        </w:rPr>
      </w:pPr>
      <w:r w:rsidRPr="00D80CB8">
        <w:rPr>
          <w:rStyle w:val="nfasis"/>
          <w:b/>
        </w:rPr>
        <w:t>Principales cadenas productivas:</w:t>
      </w:r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2B5906" w:rsidRPr="002B5906">
        <w:rPr>
          <w:i/>
          <w:iCs/>
        </w:rPr>
        <w:t>Su economía, que aporta un 35% al PIB del país, está basada principalmente en la agricultura y es el mayor productor de soja</w:t>
      </w:r>
      <w:r w:rsidR="002B5906">
        <w:rPr>
          <w:i/>
          <w:iCs/>
        </w:rPr>
        <w:t xml:space="preserve"> </w:t>
      </w:r>
      <w:r w:rsidR="002B5906" w:rsidRPr="002B5906">
        <w:rPr>
          <w:i/>
          <w:iCs/>
        </w:rPr>
        <w:t>del país. Por otro lado, las tres centrales hidroeléctricas asentadas en los principales ríos del Alto Paraná lo convierten en uno de los territorios de mayor generación de energía electrohidráulica a nivel mundial. También tanto la ganadería como la industria</w:t>
      </w:r>
      <w:r w:rsidR="002B5906">
        <w:rPr>
          <w:i/>
          <w:iCs/>
        </w:rPr>
        <w:t xml:space="preserve"> </w:t>
      </w:r>
      <w:r w:rsidR="002B5906" w:rsidRPr="002B5906">
        <w:rPr>
          <w:i/>
          <w:iCs/>
        </w:rPr>
        <w:t>comprenden un lugar significativo en la economía del departamento</w:t>
      </w:r>
      <w:r w:rsidR="008674F3" w:rsidRPr="008674F3">
        <w:rPr>
          <w:i/>
          <w:iCs/>
        </w:rPr>
        <w:t>.</w:t>
      </w:r>
    </w:p>
    <w:sectPr w:rsidR="00EF2342" w:rsidRPr="001E120D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B5906"/>
    <w:rsid w:val="003729DB"/>
    <w:rsid w:val="00375222"/>
    <w:rsid w:val="003B06B6"/>
    <w:rsid w:val="00423909"/>
    <w:rsid w:val="00655406"/>
    <w:rsid w:val="006803DD"/>
    <w:rsid w:val="006D3A61"/>
    <w:rsid w:val="006E2175"/>
    <w:rsid w:val="00776CEF"/>
    <w:rsid w:val="007B1909"/>
    <w:rsid w:val="007D14A6"/>
    <w:rsid w:val="00864C1E"/>
    <w:rsid w:val="008674F3"/>
    <w:rsid w:val="0087051D"/>
    <w:rsid w:val="00885A3F"/>
    <w:rsid w:val="008E39EB"/>
    <w:rsid w:val="009015F9"/>
    <w:rsid w:val="00992B51"/>
    <w:rsid w:val="009F5B34"/>
    <w:rsid w:val="00A775BC"/>
    <w:rsid w:val="00B03C9A"/>
    <w:rsid w:val="00BE68C3"/>
    <w:rsid w:val="00C2243C"/>
    <w:rsid w:val="00D37283"/>
    <w:rsid w:val="00D439ED"/>
    <w:rsid w:val="00D849AF"/>
    <w:rsid w:val="00E37899"/>
    <w:rsid w:val="00F14BD5"/>
    <w:rsid w:val="00FA5587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49560</c:v>
                </c:pt>
                <c:pt idx="1">
                  <c:v>32723</c:v>
                </c:pt>
                <c:pt idx="2">
                  <c:v>128494</c:v>
                </c:pt>
                <c:pt idx="3">
                  <c:v>8321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2016-11-10T17:08:00Z</dcterms:created>
  <dcterms:modified xsi:type="dcterms:W3CDTF">2016-11-10T17:30:00Z</dcterms:modified>
</cp:coreProperties>
</file>