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Subtitle"/>
        <w:contextualSpacing w:val="0"/>
      </w:pPr>
      <w:r w:rsidDel="00000000" w:rsidR="00000000" w:rsidRPr="00000000">
        <w:rPr>
          <w:color w:val="984806"/>
          <w:rtl w:val="0"/>
        </w:rPr>
        <w:t xml:space="preserve">Antofagasta  - Chile</w:t>
      </w: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3722977</wp:posOffset>
            </wp:positionH>
            <wp:positionV relativeFrom="paragraph">
              <wp:posOffset>-688779</wp:posOffset>
            </wp:positionV>
            <wp:extent cx="2632668" cy="2602175"/>
            <wp:effectExtent b="0" l="0" r="0" t="0"/>
            <wp:wrapNone/>
            <wp:docPr id="2" name="image05.png"/>
            <a:graphic>
              <a:graphicData uri="http://schemas.openxmlformats.org/drawingml/2006/picture">
                <pic:pic>
                  <pic:nvPicPr>
                    <pic:cNvPr id="0" name="image05.png"/>
                    <pic:cNvPicPr preferRelativeResize="0"/>
                  </pic:nvPicPr>
                  <pic:blipFill>
                    <a:blip r:embed="rId5"/>
                    <a:srcRect b="0" l="0" r="0" t="0"/>
                    <a:stretch>
                      <a:fillRect/>
                    </a:stretch>
                  </pic:blipFill>
                  <pic:spPr>
                    <a:xfrm>
                      <a:off x="0" y="0"/>
                      <a:ext cx="2632668" cy="260217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38100</wp:posOffset>
                </wp:positionH>
                <wp:positionV relativeFrom="paragraph">
                  <wp:posOffset>228600</wp:posOffset>
                </wp:positionV>
                <wp:extent cx="2679700" cy="12700"/>
                <wp:effectExtent b="0" l="0" r="0" t="0"/>
                <wp:wrapNone/>
                <wp:docPr id="1" name="image01.png"/>
                <a:graphic>
                  <a:graphicData uri="http://schemas.openxmlformats.org/drawingml/2006/picture">
                    <pic:pic>
                      <pic:nvPicPr>
                        <pic:cNvPr id="0" name="image01.png"/>
                        <pic:cNvPicPr preferRelativeResize="0"/>
                      </pic:nvPicPr>
                      <pic:blipFill>
                        <a:blip r:embed="rId6"/>
                        <a:srcRect/>
                        <a:stretch>
                          <a:fillRect/>
                        </a:stretch>
                      </pic:blipFill>
                      <pic:spPr>
                        <a:xfrm>
                          <a:off x="0" y="0"/>
                          <a:ext cx="2679700" cy="12700"/>
                        </a:xfrm>
                        <a:prstGeom prst="rect"/>
                        <a:ln/>
                      </pic:spPr>
                    </pic:pic>
                  </a:graphicData>
                </a:graphic>
              </wp:anchor>
            </w:drawing>
          </mc:Choice>
          <mc:Fallback>
            <w:drawing>
              <wp:anchor allowOverlap="1" behindDoc="0" distB="0" distT="0" distL="114300" distR="114300" hidden="0" layoutInCell="0" locked="0" relativeHeight="0" simplePos="0">
                <wp:simplePos x="0" y="0"/>
                <wp:positionH relativeFrom="margin">
                  <wp:posOffset>38100</wp:posOffset>
                </wp:positionH>
                <wp:positionV relativeFrom="paragraph">
                  <wp:posOffset>228600</wp:posOffset>
                </wp:positionV>
                <wp:extent cx="2679700" cy="12700"/>
                <wp:effectExtent b="0" l="0" r="0" t="0"/>
                <wp:wrapNone/>
                <wp:docPr id="1" name="image03.png"/>
                <a:graphic>
                  <a:graphicData uri="http://schemas.openxmlformats.org/drawingml/2006/picture">
                    <pic:pic>
                      <pic:nvPicPr>
                        <pic:cNvPr id="0" name="image03.png"/>
                        <pic:cNvPicPr preferRelativeResize="0"/>
                      </pic:nvPicPr>
                      <pic:blipFill>
                        <a:blip r:embed="rId7"/>
                        <a:srcRect/>
                        <a:stretch>
                          <a:fillRect/>
                        </a:stretch>
                      </pic:blipFill>
                      <pic:spPr>
                        <a:xfrm>
                          <a:off x="0" y="0"/>
                          <a:ext cx="2679700" cy="127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i w:val="1"/>
          <w:color w:val="808080"/>
          <w:rtl w:val="0"/>
        </w:rPr>
        <w:t xml:space="preserve">Ciudad Capital:</w:t>
      </w:r>
      <w:r w:rsidDel="00000000" w:rsidR="00000000" w:rsidRPr="00000000">
        <w:rPr>
          <w:i w:val="0"/>
          <w:color w:val="808080"/>
          <w:rtl w:val="0"/>
        </w:rPr>
        <w:t xml:space="preserve"> Antofagasta</w:t>
      </w:r>
    </w:p>
    <w:p w:rsidR="00000000" w:rsidDel="00000000" w:rsidP="00000000" w:rsidRDefault="00000000" w:rsidRPr="00000000">
      <w:pPr>
        <w:contextualSpacing w:val="0"/>
      </w:pPr>
      <w:r w:rsidDel="00000000" w:rsidR="00000000" w:rsidRPr="00000000">
        <w:rPr>
          <w:i w:val="1"/>
          <w:color w:val="808080"/>
          <w:rtl w:val="0"/>
        </w:rPr>
        <w:t xml:space="preserve">Superficie:</w:t>
      </w:r>
      <w:r w:rsidDel="00000000" w:rsidR="00000000" w:rsidRPr="00000000">
        <w:rPr>
          <w:rFonts w:ascii="Arial" w:cs="Arial" w:eastAsia="Arial" w:hAnsi="Arial"/>
          <w:color w:val="000000"/>
          <w:sz w:val="19"/>
          <w:szCs w:val="19"/>
          <w:shd w:fill="f9f9f9" w:val="clear"/>
          <w:rtl w:val="0"/>
        </w:rPr>
        <w:t xml:space="preserve"> </w:t>
      </w:r>
      <w:r w:rsidDel="00000000" w:rsidR="00000000" w:rsidRPr="00000000">
        <w:rPr>
          <w:i w:val="0"/>
          <w:color w:val="808080"/>
          <w:rtl w:val="0"/>
        </w:rPr>
        <w:t xml:space="preserve">126.049,1 Km</w:t>
      </w:r>
      <w:r w:rsidDel="00000000" w:rsidR="00000000" w:rsidRPr="00000000">
        <w:rPr>
          <w:i w:val="0"/>
          <w:color w:val="808080"/>
          <w:vertAlign w:val="superscript"/>
          <w:rtl w:val="0"/>
        </w:rPr>
        <w:t xml:space="preserve">2</w:t>
      </w:r>
      <w:r w:rsidDel="00000000" w:rsidR="00000000" w:rsidRPr="00000000">
        <w:rPr>
          <w:rtl w:val="0"/>
        </w:rPr>
      </w:r>
    </w:p>
    <w:p w:rsidR="00000000" w:rsidDel="00000000" w:rsidP="00000000" w:rsidRDefault="00000000" w:rsidRPr="00000000">
      <w:pPr>
        <w:contextualSpacing w:val="0"/>
      </w:pPr>
      <w:r w:rsidDel="00000000" w:rsidR="00000000" w:rsidRPr="00000000">
        <w:rPr>
          <w:i w:val="1"/>
          <w:color w:val="808080"/>
          <w:rtl w:val="0"/>
        </w:rPr>
        <w:t xml:space="preserve">Población:</w:t>
      </w:r>
      <w:r w:rsidDel="00000000" w:rsidR="00000000" w:rsidRPr="00000000">
        <w:rPr>
          <w:rFonts w:ascii="Calibri" w:cs="Calibri" w:eastAsia="Calibri" w:hAnsi="Calibri"/>
          <w:color w:val="000000"/>
          <w:rtl w:val="0"/>
        </w:rPr>
        <w:t xml:space="preserve"> </w:t>
      </w:r>
      <w:r w:rsidDel="00000000" w:rsidR="00000000" w:rsidRPr="00000000">
        <w:rPr>
          <w:i w:val="0"/>
          <w:color w:val="808080"/>
          <w:rtl w:val="0"/>
        </w:rPr>
        <w:t xml:space="preserve">622.640</w:t>
      </w:r>
      <w:r w:rsidDel="00000000" w:rsidR="00000000" w:rsidRPr="00000000">
        <w:rPr>
          <w:rFonts w:ascii="Calibri" w:cs="Calibri" w:eastAsia="Calibri" w:hAnsi="Calibri"/>
          <w:color w:val="000000"/>
          <w:rtl w:val="0"/>
        </w:rPr>
        <w:t xml:space="preserve"> </w:t>
      </w:r>
      <w:r w:rsidDel="00000000" w:rsidR="00000000" w:rsidRPr="00000000">
        <w:rPr>
          <w:i w:val="0"/>
          <w:color w:val="808080"/>
          <w:rtl w:val="0"/>
        </w:rPr>
        <w:t xml:space="preserve">habitantes (2015)</w:t>
      </w:r>
    </w:p>
    <w:p w:rsidR="00000000" w:rsidDel="00000000" w:rsidP="00000000" w:rsidRDefault="00000000" w:rsidRPr="00000000">
      <w:pPr>
        <w:contextualSpacing w:val="0"/>
      </w:pPr>
      <w:r w:rsidDel="00000000" w:rsidR="00000000" w:rsidRPr="00000000">
        <w:rPr>
          <w:i w:val="1"/>
          <w:color w:val="808080"/>
          <w:rtl w:val="0"/>
        </w:rPr>
        <w:t xml:space="preserve">Intendente</w:t>
      </w:r>
      <w:r w:rsidDel="00000000" w:rsidR="00000000" w:rsidRPr="00000000">
        <w:rPr>
          <w:i w:val="0"/>
          <w:color w:val="808080"/>
          <w:rtl w:val="0"/>
        </w:rPr>
        <w:t xml:space="preserve"> Valentín Volta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tbl>
      <w:tblPr>
        <w:tblStyle w:val="Table1"/>
        <w:bidiVisual w:val="0"/>
        <w:tblW w:w="9075.0" w:type="dxa"/>
        <w:jc w:val="left"/>
        <w:tblInd w:w="-115.0" w:type="dxa"/>
        <w:tblBorders>
          <w:top w:color="000000" w:space="0" w:sz="4" w:val="single"/>
          <w:left w:color="000000" w:space="0" w:sz="4" w:val="single"/>
          <w:bottom w:color="000000" w:space="0" w:sz="4" w:val="single"/>
          <w:right w:color="000000" w:space="0" w:sz="4" w:val="single"/>
          <w:insideH w:color="ffffff" w:space="0" w:sz="4" w:val="single"/>
          <w:insideV w:color="000000" w:space="0" w:sz="4" w:val="single"/>
        </w:tblBorders>
        <w:tblLayout w:type="fixed"/>
        <w:tblLook w:val="04A0"/>
      </w:tblPr>
      <w:tblGrid>
        <w:gridCol w:w="2280"/>
        <w:gridCol w:w="3015"/>
        <w:gridCol w:w="1425"/>
        <w:gridCol w:w="1170"/>
        <w:gridCol w:w="1185"/>
        <w:tblGridChange w:id="0">
          <w:tblGrid>
            <w:gridCol w:w="2280"/>
            <w:gridCol w:w="3015"/>
            <w:gridCol w:w="1425"/>
            <w:gridCol w:w="1170"/>
            <w:gridCol w:w="1185"/>
          </w:tblGrid>
        </w:tblGridChange>
      </w:tblGrid>
      <w:tr>
        <w:tc>
          <w:tcPr/>
          <w:p w:rsidR="00000000" w:rsidDel="00000000" w:rsidP="00000000" w:rsidRDefault="00000000" w:rsidRPr="00000000">
            <w:pPr>
              <w:contextualSpacing w:val="0"/>
              <w:jc w:val="center"/>
            </w:pPr>
            <w:r w:rsidDel="00000000" w:rsidR="00000000" w:rsidRPr="00000000">
              <w:rPr>
                <w:b w:val="0"/>
                <w:color w:val="000000"/>
                <w:rtl w:val="0"/>
              </w:rPr>
              <w:t xml:space="preserve">Indicadores de referencia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t xml:space="preserve">Indicador</w:t>
            </w:r>
          </w:p>
        </w:tc>
        <w:tc>
          <w:tcPr/>
          <w:p w:rsidR="00000000" w:rsidDel="00000000" w:rsidP="00000000" w:rsidRDefault="00000000" w:rsidRPr="00000000">
            <w:pPr>
              <w:contextualSpacing w:val="0"/>
            </w:pPr>
            <w:r w:rsidDel="00000000" w:rsidR="00000000" w:rsidRPr="00000000">
              <w:rPr>
                <w:rtl w:val="0"/>
              </w:rPr>
              <w:t xml:space="preserve">Valor</w:t>
            </w:r>
          </w:p>
        </w:tc>
        <w:tc>
          <w:tcPr/>
          <w:p w:rsidR="00000000" w:rsidDel="00000000" w:rsidP="00000000" w:rsidRDefault="00000000" w:rsidRPr="00000000">
            <w:pPr>
              <w:contextualSpacing w:val="0"/>
            </w:pPr>
            <w:r w:rsidDel="00000000" w:rsidR="00000000" w:rsidRPr="00000000">
              <w:rPr>
                <w:rtl w:val="0"/>
              </w:rPr>
              <w:t xml:space="preserve">Año</w:t>
            </w:r>
          </w:p>
        </w:tc>
        <w:tc>
          <w:tcPr/>
          <w:p w:rsidR="00000000" w:rsidDel="00000000" w:rsidP="00000000" w:rsidRDefault="00000000" w:rsidRPr="00000000">
            <w:pPr>
              <w:contextualSpacing w:val="0"/>
            </w:pPr>
            <w:r w:rsidDel="00000000" w:rsidR="00000000" w:rsidRPr="00000000">
              <w:rPr>
                <w:rtl w:val="0"/>
              </w:rPr>
              <w:t xml:space="preserve">Fuente</w:t>
            </w:r>
          </w:p>
        </w:tc>
      </w:tr>
      <w:tr>
        <w:tc>
          <w:tcPr/>
          <w:p w:rsidR="00000000" w:rsidDel="00000000" w:rsidP="00000000" w:rsidRDefault="00000000" w:rsidRPr="00000000">
            <w:pPr>
              <w:contextualSpacing w:val="0"/>
            </w:pPr>
            <w:r w:rsidDel="00000000" w:rsidR="00000000" w:rsidRPr="00000000">
              <w:rPr>
                <w:b w:val="1"/>
                <w:color w:val="000000"/>
                <w:rtl w:val="0"/>
              </w:rPr>
              <w:t xml:space="preserve">Educación</w:t>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rtl w:val="0"/>
              </w:rPr>
              <w:t xml:space="preserve">Matrícula Escolar Total</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Alumnos Matriculados en Educación Superior</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rtl w:val="0"/>
              </w:rPr>
              <w:t xml:space="preserve">174.692</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41.778</w:t>
            </w:r>
          </w:p>
        </w:tc>
        <w:tc>
          <w:tcPr>
            <w:vAlign w:val="center"/>
          </w:tcPr>
          <w:p w:rsidR="00000000" w:rsidDel="00000000" w:rsidP="00000000" w:rsidRDefault="00000000" w:rsidRPr="00000000">
            <w:pPr>
              <w:contextualSpacing w:val="0"/>
              <w:jc w:val="center"/>
            </w:pPr>
            <w:r w:rsidDel="00000000" w:rsidR="00000000" w:rsidRPr="00000000">
              <w:rPr>
                <w:rtl w:val="0"/>
              </w:rPr>
              <w:t xml:space="preserve">2013</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2014</w:t>
            </w:r>
          </w:p>
        </w:tc>
        <w:tc>
          <w:tcPr>
            <w:vAlign w:val="center"/>
          </w:tcPr>
          <w:p w:rsidR="00000000" w:rsidDel="00000000" w:rsidP="00000000" w:rsidRDefault="00000000" w:rsidRPr="00000000">
            <w:pPr>
              <w:contextualSpacing w:val="0"/>
              <w:jc w:val="center"/>
            </w:pPr>
            <w:r w:rsidDel="00000000" w:rsidR="00000000" w:rsidRPr="00000000">
              <w:rPr>
                <w:rtl w:val="0"/>
              </w:rPr>
              <w:t xml:space="preserve">INE</w:t>
            </w:r>
          </w:p>
        </w:tc>
      </w:tr>
      <w:tr>
        <w:tc>
          <w:tcPr/>
          <w:p w:rsidR="00000000" w:rsidDel="00000000" w:rsidP="00000000" w:rsidRDefault="00000000" w:rsidRPr="00000000">
            <w:pPr>
              <w:contextualSpacing w:val="0"/>
            </w:pPr>
            <w:r w:rsidDel="00000000" w:rsidR="00000000" w:rsidRPr="00000000">
              <w:rPr>
                <w:b w:val="1"/>
                <w:color w:val="000000"/>
                <w:rtl w:val="0"/>
              </w:rPr>
              <w:t xml:space="preserve">Salud</w:t>
            </w:r>
          </w:p>
        </w:tc>
        <w:tc>
          <w:tcPr/>
          <w:p w:rsidR="00000000" w:rsidDel="00000000" w:rsidP="00000000" w:rsidRDefault="00000000" w:rsidRPr="00000000">
            <w:pPr>
              <w:contextualSpacing w:val="0"/>
              <w:jc w:val="center"/>
            </w:pPr>
            <w:r w:rsidDel="00000000" w:rsidR="00000000" w:rsidRPr="00000000">
              <w:rPr>
                <w:rtl w:val="0"/>
              </w:rPr>
              <w:t xml:space="preserve">Atenciones médicas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Camas Hospitalarias cada 1.000 habitantes</w:t>
            </w:r>
          </w:p>
        </w:tc>
        <w:tc>
          <w:tcPr>
            <w:vAlign w:val="center"/>
          </w:tcPr>
          <w:p w:rsidR="00000000" w:rsidDel="00000000" w:rsidP="00000000" w:rsidRDefault="00000000" w:rsidRPr="00000000">
            <w:pPr>
              <w:contextualSpacing w:val="0"/>
              <w:jc w:val="center"/>
            </w:pPr>
            <w:r w:rsidDel="00000000" w:rsidR="00000000" w:rsidRPr="00000000">
              <w:rPr>
                <w:rtl w:val="0"/>
              </w:rPr>
              <w:t xml:space="preserve">981.868</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766</w:t>
            </w:r>
          </w:p>
        </w:tc>
        <w:tc>
          <w:tcPr>
            <w:vAlign w:val="center"/>
          </w:tcPr>
          <w:p w:rsidR="00000000" w:rsidDel="00000000" w:rsidP="00000000" w:rsidRDefault="00000000" w:rsidRPr="00000000">
            <w:pPr>
              <w:contextualSpacing w:val="0"/>
              <w:jc w:val="center"/>
            </w:pPr>
            <w:r w:rsidDel="00000000" w:rsidR="00000000" w:rsidRPr="00000000">
              <w:rPr>
                <w:rtl w:val="0"/>
              </w:rPr>
              <w:t xml:space="preserve">2009</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2013</w:t>
            </w:r>
          </w:p>
        </w:tc>
        <w:tc>
          <w:tcPr>
            <w:vAlign w:val="center"/>
          </w:tcPr>
          <w:p w:rsidR="00000000" w:rsidDel="00000000" w:rsidP="00000000" w:rsidRDefault="00000000" w:rsidRPr="00000000">
            <w:pPr>
              <w:contextualSpacing w:val="0"/>
              <w:jc w:val="center"/>
            </w:pPr>
            <w:r w:rsidDel="00000000" w:rsidR="00000000" w:rsidRPr="00000000">
              <w:rPr>
                <w:rtl w:val="0"/>
              </w:rPr>
              <w:t xml:space="preserve">INE</w:t>
            </w:r>
          </w:p>
        </w:tc>
      </w:tr>
      <w:tr>
        <w:tc>
          <w:tcPr/>
          <w:p w:rsidR="00000000" w:rsidDel="00000000" w:rsidP="00000000" w:rsidRDefault="00000000" w:rsidRPr="00000000">
            <w:pPr>
              <w:contextualSpacing w:val="0"/>
            </w:pPr>
            <w:r w:rsidDel="00000000" w:rsidR="00000000" w:rsidRPr="00000000">
              <w:rPr>
                <w:b w:val="1"/>
                <w:color w:val="000000"/>
                <w:rtl w:val="0"/>
              </w:rPr>
              <w:t xml:space="preserve">Empleo</w:t>
            </w:r>
          </w:p>
        </w:tc>
        <w:tc>
          <w:tcPr/>
          <w:p w:rsidR="00000000" w:rsidDel="00000000" w:rsidP="00000000" w:rsidRDefault="00000000" w:rsidRPr="00000000">
            <w:pPr>
              <w:contextualSpacing w:val="0"/>
              <w:jc w:val="center"/>
            </w:pPr>
            <w:r w:rsidDel="00000000" w:rsidR="00000000" w:rsidRPr="00000000">
              <w:rPr>
                <w:rtl w:val="0"/>
              </w:rPr>
              <w:t xml:space="preserve">PEA Ocupada</w:t>
            </w:r>
          </w:p>
          <w:p w:rsidR="00000000" w:rsidDel="00000000" w:rsidP="00000000" w:rsidRDefault="00000000" w:rsidRPr="00000000">
            <w:pPr>
              <w:contextualSpacing w:val="0"/>
              <w:jc w:val="center"/>
            </w:pPr>
            <w:r w:rsidDel="00000000" w:rsidR="00000000" w:rsidRPr="00000000">
              <w:rPr>
                <w:rtl w:val="0"/>
              </w:rPr>
              <w:t xml:space="preserve">(miles de personas)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Tasa de Desocupación</w:t>
            </w:r>
          </w:p>
        </w:tc>
        <w:tc>
          <w:tcPr>
            <w:vAlign w:val="center"/>
          </w:tcPr>
          <w:p w:rsidR="00000000" w:rsidDel="00000000" w:rsidP="00000000" w:rsidRDefault="00000000" w:rsidRPr="00000000">
            <w:pPr>
              <w:contextualSpacing w:val="0"/>
              <w:jc w:val="center"/>
            </w:pPr>
            <w:r w:rsidDel="00000000" w:rsidR="00000000" w:rsidRPr="00000000">
              <w:rPr>
                <w:rtl w:val="0"/>
              </w:rPr>
              <w:t xml:space="preserve">277,81</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7,74%</w:t>
            </w:r>
          </w:p>
        </w:tc>
        <w:tc>
          <w:tcPr>
            <w:vAlign w:val="center"/>
          </w:tcPr>
          <w:p w:rsidR="00000000" w:rsidDel="00000000" w:rsidP="00000000" w:rsidRDefault="00000000" w:rsidRPr="00000000">
            <w:pPr>
              <w:contextualSpacing w:val="0"/>
              <w:jc w:val="center"/>
            </w:pPr>
            <w:r w:rsidDel="00000000" w:rsidR="00000000" w:rsidRPr="00000000">
              <w:rPr>
                <w:rtl w:val="0"/>
              </w:rPr>
              <w:t xml:space="preserve">Jul-Sep. 2016</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2016</w:t>
            </w:r>
          </w:p>
        </w:tc>
        <w:tc>
          <w:tcPr>
            <w:vAlign w:val="center"/>
          </w:tcPr>
          <w:p w:rsidR="00000000" w:rsidDel="00000000" w:rsidP="00000000" w:rsidRDefault="00000000" w:rsidRPr="00000000">
            <w:pPr>
              <w:contextualSpacing w:val="0"/>
              <w:jc w:val="center"/>
            </w:pPr>
            <w:r w:rsidDel="00000000" w:rsidR="00000000" w:rsidRPr="00000000">
              <w:rPr>
                <w:rtl w:val="0"/>
              </w:rPr>
              <w:t xml:space="preserve">INE</w:t>
            </w:r>
          </w:p>
        </w:tc>
      </w:tr>
      <w:tr>
        <w:tc>
          <w:tcPr/>
          <w:p w:rsidR="00000000" w:rsidDel="00000000" w:rsidP="00000000" w:rsidRDefault="00000000" w:rsidRPr="00000000">
            <w:pPr>
              <w:contextualSpacing w:val="0"/>
            </w:pPr>
            <w:r w:rsidDel="00000000" w:rsidR="00000000" w:rsidRPr="00000000">
              <w:rPr>
                <w:b w:val="1"/>
                <w:color w:val="000000"/>
                <w:rtl w:val="0"/>
              </w:rPr>
              <w:t xml:space="preserve">PBI</w:t>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rtl w:val="0"/>
              </w:rPr>
              <w:t xml:space="preserve">Participación en PBI nacional</w:t>
            </w:r>
          </w:p>
        </w:tc>
        <w:tc>
          <w:tcPr>
            <w:vAlign w:val="center"/>
          </w:tcPr>
          <w:p w:rsidR="00000000" w:rsidDel="00000000" w:rsidP="00000000" w:rsidRDefault="00000000" w:rsidRPr="00000000">
            <w:pPr>
              <w:contextualSpacing w:val="0"/>
              <w:jc w:val="center"/>
            </w:pPr>
            <w:r w:rsidDel="00000000" w:rsidR="00000000" w:rsidRPr="00000000">
              <w:rPr>
                <w:rtl w:val="0"/>
              </w:rPr>
              <w:t xml:space="preserve">9,89%</w:t>
            </w:r>
          </w:p>
        </w:tc>
        <w:tc>
          <w:tcPr>
            <w:vAlign w:val="center"/>
          </w:tcPr>
          <w:p w:rsidR="00000000" w:rsidDel="00000000" w:rsidP="00000000" w:rsidRDefault="00000000" w:rsidRPr="00000000">
            <w:pPr>
              <w:contextualSpacing w:val="0"/>
              <w:jc w:val="center"/>
            </w:pPr>
            <w:r w:rsidDel="00000000" w:rsidR="00000000" w:rsidRPr="00000000">
              <w:rPr>
                <w:rtl w:val="0"/>
              </w:rPr>
              <w:t xml:space="preserve">2014</w:t>
            </w:r>
          </w:p>
        </w:tc>
        <w:tc>
          <w:tcPr>
            <w:vAlign w:val="center"/>
          </w:tcPr>
          <w:p w:rsidR="00000000" w:rsidDel="00000000" w:rsidP="00000000" w:rsidRDefault="00000000" w:rsidRPr="00000000">
            <w:pPr>
              <w:contextualSpacing w:val="0"/>
              <w:jc w:val="center"/>
            </w:pPr>
            <w:r w:rsidDel="00000000" w:rsidR="00000000" w:rsidRPr="00000000">
              <w:rPr>
                <w:rtl w:val="0"/>
              </w:rPr>
              <w:t xml:space="preserve">INE</w:t>
            </w:r>
          </w:p>
        </w:tc>
      </w:tr>
      <w:tr>
        <w:tc>
          <w:tcPr/>
          <w:p w:rsidR="00000000" w:rsidDel="00000000" w:rsidP="00000000" w:rsidRDefault="00000000" w:rsidRPr="00000000">
            <w:pPr>
              <w:contextualSpacing w:val="0"/>
            </w:pPr>
            <w:r w:rsidDel="00000000" w:rsidR="00000000" w:rsidRPr="00000000">
              <w:rPr>
                <w:b w:val="1"/>
                <w:color w:val="000000"/>
                <w:rtl w:val="0"/>
              </w:rPr>
              <w:t xml:space="preserve">Exportaciones</w:t>
            </w:r>
          </w:p>
        </w:tc>
        <w:tc>
          <w:tcPr/>
          <w:p w:rsidR="00000000" w:rsidDel="00000000" w:rsidP="00000000" w:rsidRDefault="00000000" w:rsidRPr="00000000">
            <w:pPr>
              <w:contextualSpacing w:val="0"/>
              <w:jc w:val="center"/>
            </w:pPr>
            <w:r w:rsidDel="00000000" w:rsidR="00000000" w:rsidRPr="00000000">
              <w:rPr>
                <w:rtl w:val="0"/>
              </w:rPr>
              <w:t xml:space="preserve">Valor de exportaciones</w:t>
            </w:r>
          </w:p>
          <w:p w:rsidR="00000000" w:rsidDel="00000000" w:rsidP="00000000" w:rsidRDefault="00000000" w:rsidRPr="00000000">
            <w:pPr>
              <w:contextualSpacing w:val="0"/>
              <w:jc w:val="center"/>
            </w:pPr>
            <w:r w:rsidDel="00000000" w:rsidR="00000000" w:rsidRPr="00000000">
              <w:rPr>
                <w:rtl w:val="0"/>
              </w:rPr>
              <w:t xml:space="preserve"> (en millones de US$ FOB)</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rtl w:val="0"/>
              </w:rPr>
              <w:t xml:space="preserve">23.404,2</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2014</w:t>
            </w:r>
          </w:p>
        </w:tc>
        <w:tc>
          <w:tcPr>
            <w:vAlign w:val="center"/>
          </w:tcPr>
          <w:p w:rsidR="00000000" w:rsidDel="00000000" w:rsidP="00000000" w:rsidRDefault="00000000" w:rsidRPr="00000000">
            <w:pPr>
              <w:contextualSpacing w:val="0"/>
              <w:jc w:val="center"/>
            </w:pPr>
            <w:r w:rsidDel="00000000" w:rsidR="00000000" w:rsidRPr="00000000">
              <w:rPr>
                <w:rtl w:val="0"/>
              </w:rPr>
              <w:t xml:space="preserve">INE</w:t>
            </w:r>
          </w:p>
        </w:tc>
      </w:tr>
      <w:tr>
        <w:tc>
          <w:tcPr/>
          <w:p w:rsidR="00000000" w:rsidDel="00000000" w:rsidP="00000000" w:rsidRDefault="00000000" w:rsidRPr="00000000">
            <w:pPr>
              <w:contextualSpacing w:val="0"/>
            </w:pPr>
            <w:r w:rsidDel="00000000" w:rsidR="00000000" w:rsidRPr="00000000">
              <w:rPr>
                <w:b w:val="1"/>
                <w:color w:val="000000"/>
                <w:rtl w:val="0"/>
              </w:rPr>
              <w:t xml:space="preserve">IDH</w:t>
            </w:r>
          </w:p>
        </w:tc>
        <w:tc>
          <w:tcPr/>
          <w:p w:rsidR="00000000" w:rsidDel="00000000" w:rsidP="00000000" w:rsidRDefault="00000000" w:rsidRPr="00000000">
            <w:pPr>
              <w:contextualSpacing w:val="0"/>
              <w:jc w:val="center"/>
            </w:pPr>
            <w:r w:rsidDel="00000000" w:rsidR="00000000" w:rsidRPr="00000000">
              <w:rPr>
                <w:rtl w:val="0"/>
              </w:rPr>
              <w:t xml:space="preserve">Índice de Desarrollo Humano</w:t>
            </w:r>
          </w:p>
        </w:tc>
        <w:tc>
          <w:tcPr>
            <w:vAlign w:val="center"/>
          </w:tcPr>
          <w:p w:rsidR="00000000" w:rsidDel="00000000" w:rsidP="00000000" w:rsidRDefault="00000000" w:rsidRPr="00000000">
            <w:pPr>
              <w:contextualSpacing w:val="0"/>
              <w:jc w:val="center"/>
            </w:pPr>
            <w:r w:rsidDel="00000000" w:rsidR="00000000" w:rsidRPr="00000000">
              <w:rPr>
                <w:rtl w:val="0"/>
              </w:rPr>
              <w:t xml:space="preserve">0,915</w:t>
            </w:r>
          </w:p>
        </w:tc>
        <w:tc>
          <w:tcPr>
            <w:vAlign w:val="center"/>
          </w:tcPr>
          <w:p w:rsidR="00000000" w:rsidDel="00000000" w:rsidP="00000000" w:rsidRDefault="00000000" w:rsidRPr="00000000">
            <w:pPr>
              <w:contextualSpacing w:val="0"/>
              <w:jc w:val="center"/>
            </w:pPr>
            <w:r w:rsidDel="00000000" w:rsidR="00000000" w:rsidRPr="00000000">
              <w:rPr>
                <w:rtl w:val="0"/>
              </w:rPr>
              <w:t xml:space="preserve">2015</w:t>
            </w:r>
          </w:p>
        </w:tc>
        <w:tc>
          <w:tcPr>
            <w:vAlign w:val="center"/>
          </w:tcPr>
          <w:p w:rsidR="00000000" w:rsidDel="00000000" w:rsidP="00000000" w:rsidRDefault="00000000" w:rsidRPr="00000000">
            <w:pPr>
              <w:contextualSpacing w:val="0"/>
              <w:jc w:val="center"/>
            </w:pPr>
            <w:r w:rsidDel="00000000" w:rsidR="00000000" w:rsidRPr="00000000">
              <w:rPr>
                <w:rtl w:val="0"/>
              </w:rPr>
              <w:t xml:space="preserve">PNUD</w:t>
            </w:r>
          </w:p>
        </w:tc>
      </w:tr>
      <w:tr>
        <w:tc>
          <w:tcPr/>
          <w:p w:rsidR="00000000" w:rsidDel="00000000" w:rsidP="00000000" w:rsidRDefault="00000000" w:rsidRPr="00000000">
            <w:pPr>
              <w:contextualSpacing w:val="0"/>
            </w:pPr>
            <w:r w:rsidDel="00000000" w:rsidR="00000000" w:rsidRPr="00000000">
              <w:rPr>
                <w:b w:val="1"/>
                <w:color w:val="000000"/>
                <w:rtl w:val="0"/>
              </w:rPr>
              <w:t xml:space="preserve">Ingresos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t xml:space="preserve">Ingreso Medio Mensual </w:t>
            </w:r>
          </w:p>
          <w:p w:rsidR="00000000" w:rsidDel="00000000" w:rsidP="00000000" w:rsidRDefault="00000000" w:rsidRPr="00000000">
            <w:pPr>
              <w:contextualSpacing w:val="0"/>
              <w:jc w:val="center"/>
            </w:pPr>
            <w:r w:rsidDel="00000000" w:rsidR="00000000" w:rsidRPr="00000000">
              <w:rPr>
                <w:rtl w:val="0"/>
              </w:rPr>
              <w:t xml:space="preserve">de los ocupados (en Pesos)</w:t>
            </w:r>
          </w:p>
        </w:tc>
        <w:tc>
          <w:tcPr>
            <w:vAlign w:val="center"/>
          </w:tcPr>
          <w:p w:rsidR="00000000" w:rsidDel="00000000" w:rsidP="00000000" w:rsidRDefault="00000000" w:rsidRPr="00000000">
            <w:pPr>
              <w:contextualSpacing w:val="0"/>
              <w:jc w:val="center"/>
            </w:pPr>
            <w:r w:rsidDel="00000000" w:rsidR="00000000" w:rsidRPr="00000000">
              <w:rPr>
                <w:rtl w:val="0"/>
              </w:rPr>
              <w:t xml:space="preserve">475,9</w:t>
            </w:r>
          </w:p>
        </w:tc>
        <w:tc>
          <w:tcPr>
            <w:vAlign w:val="center"/>
          </w:tcPr>
          <w:p w:rsidR="00000000" w:rsidDel="00000000" w:rsidP="00000000" w:rsidRDefault="00000000" w:rsidRPr="00000000">
            <w:pPr>
              <w:contextualSpacing w:val="0"/>
              <w:jc w:val="center"/>
            </w:pPr>
            <w:r w:rsidDel="00000000" w:rsidR="00000000" w:rsidRPr="00000000">
              <w:rPr>
                <w:rtl w:val="0"/>
              </w:rPr>
              <w:t xml:space="preserve">Oct. 2010</w:t>
            </w:r>
          </w:p>
        </w:tc>
        <w:tc>
          <w:tcPr>
            <w:vAlign w:val="center"/>
          </w:tcPr>
          <w:p w:rsidR="00000000" w:rsidDel="00000000" w:rsidP="00000000" w:rsidRDefault="00000000" w:rsidRPr="00000000">
            <w:pPr>
              <w:keepNext w:val="0"/>
              <w:keepLines w:val="0"/>
              <w:widowControl w:val="1"/>
              <w:spacing w:after="0" w:before="0" w:line="240" w:lineRule="auto"/>
              <w:ind w:left="0" w:right="0" w:firstLine="0"/>
              <w:contextualSpacing w:val="0"/>
              <w:jc w:val="center"/>
            </w:pPr>
            <w:r w:rsidDel="00000000" w:rsidR="00000000" w:rsidRPr="00000000">
              <w:rPr>
                <w:rtl w:val="0"/>
              </w:rPr>
              <w:t xml:space="preserve">INE</w:t>
            </w:r>
          </w:p>
        </w:tc>
      </w:tr>
      <w:tr>
        <w:tc>
          <w:tcPr/>
          <w:p w:rsidR="00000000" w:rsidDel="00000000" w:rsidP="00000000" w:rsidRDefault="00000000" w:rsidRPr="00000000">
            <w:pPr>
              <w:contextualSpacing w:val="0"/>
            </w:pPr>
            <w:r w:rsidDel="00000000" w:rsidR="00000000" w:rsidRPr="00000000">
              <w:rPr>
                <w:b w:val="1"/>
                <w:color w:val="000000"/>
                <w:rtl w:val="0"/>
              </w:rPr>
              <w:t xml:space="preserve">Estructura económica</w:t>
            </w:r>
          </w:p>
        </w:tc>
        <w:tc>
          <w:tcPr/>
          <w:p w:rsidR="00000000" w:rsidDel="00000000" w:rsidP="00000000" w:rsidRDefault="00000000" w:rsidRPr="00000000">
            <w:pPr>
              <w:contextualSpacing w:val="0"/>
              <w:jc w:val="center"/>
            </w:pPr>
            <w:r w:rsidDel="00000000" w:rsidR="00000000" w:rsidRPr="00000000">
              <w:rPr>
                <w:rtl w:val="0"/>
              </w:rPr>
              <w:t xml:space="preserve">Cantidad de empresas exportadoras</w:t>
            </w:r>
          </w:p>
        </w:tc>
        <w:tc>
          <w:tcPr>
            <w:vAlign w:val="center"/>
          </w:tcPr>
          <w:p w:rsidR="00000000" w:rsidDel="00000000" w:rsidP="00000000" w:rsidRDefault="00000000" w:rsidRPr="00000000">
            <w:pPr>
              <w:contextualSpacing w:val="0"/>
              <w:jc w:val="center"/>
            </w:pPr>
            <w:r w:rsidDel="00000000" w:rsidR="00000000" w:rsidRPr="00000000">
              <w:rPr>
                <w:rtl w:val="0"/>
              </w:rPr>
              <w:t xml:space="preserve">251</w:t>
            </w:r>
          </w:p>
        </w:tc>
        <w:tc>
          <w:tcPr>
            <w:vAlign w:val="center"/>
          </w:tcPr>
          <w:p w:rsidR="00000000" w:rsidDel="00000000" w:rsidP="00000000" w:rsidRDefault="00000000" w:rsidRPr="00000000">
            <w:pPr>
              <w:contextualSpacing w:val="0"/>
              <w:jc w:val="center"/>
            </w:pPr>
            <w:r w:rsidDel="00000000" w:rsidR="00000000" w:rsidRPr="00000000">
              <w:rPr>
                <w:rtl w:val="0"/>
              </w:rPr>
              <w:t xml:space="preserve">2011</w:t>
            </w:r>
          </w:p>
        </w:tc>
        <w:tc>
          <w:tcPr>
            <w:vAlign w:val="center"/>
          </w:tcPr>
          <w:p w:rsidR="00000000" w:rsidDel="00000000" w:rsidP="00000000" w:rsidRDefault="00000000" w:rsidRPr="00000000">
            <w:pPr>
              <w:keepNext w:val="0"/>
              <w:keepLines w:val="0"/>
              <w:widowControl w:val="1"/>
              <w:spacing w:after="0" w:before="0" w:line="240" w:lineRule="auto"/>
              <w:ind w:left="0" w:right="0" w:firstLine="0"/>
              <w:contextualSpacing w:val="0"/>
              <w:jc w:val="center"/>
            </w:pPr>
            <w:r w:rsidDel="00000000" w:rsidR="00000000" w:rsidRPr="00000000">
              <w:rPr>
                <w:rtl w:val="0"/>
              </w:rPr>
              <w:t xml:space="preserve">PROCHILE</w:t>
            </w:r>
          </w:p>
        </w:tc>
      </w:tr>
    </w:tbl>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i w:val="1"/>
          <w:rtl w:val="0"/>
        </w:rPr>
        <w:t xml:space="preserve">Principales actividades económicas:</w:t>
      </w:r>
    </w:p>
    <w:p w:rsidR="00000000" w:rsidDel="00000000" w:rsidP="00000000" w:rsidRDefault="00000000" w:rsidRPr="00000000">
      <w:pPr>
        <w:spacing w:after="0" w:lineRule="auto"/>
        <w:contextualSpacing w:val="0"/>
        <w:jc w:val="both"/>
      </w:pPr>
      <w:r w:rsidDel="00000000" w:rsidR="00000000" w:rsidRPr="00000000">
        <w:rPr>
          <w:i w:val="0"/>
          <w:color w:val="808080"/>
          <w:rtl w:val="0"/>
        </w:rPr>
        <w:t xml:space="preserve">La participación de Antofagasta en el PBI nacional viene decayendo en los últimos años de forma considerable as</w:t>
      </w:r>
      <w:r w:rsidDel="00000000" w:rsidR="00000000" w:rsidRPr="00000000">
        <w:rPr>
          <w:color w:val="808080"/>
          <w:rtl w:val="0"/>
        </w:rPr>
        <w:t xml:space="preserve">í como también creció la desigualdad y la pobreza</w:t>
      </w:r>
      <w:r w:rsidDel="00000000" w:rsidR="00000000" w:rsidRPr="00000000">
        <w:rPr>
          <w:i w:val="0"/>
          <w:color w:val="808080"/>
          <w:rtl w:val="0"/>
        </w:rPr>
        <w:t xml:space="preserve">. Los sectores más dinámicos, que han crecido por sobre el promedio regional son: energía, gas y agua; construcción y servicios financieros. Todos ellos han aumentado su participación en el decenio, derivado del gran impulso que ha tenido la producción minera. No ha pasado lo mismo con el sector de la industria manufacturera, la cual si bien ha tenido crecimiento, ha sido muy por debajo del promedio de la Región.</w:t>
      </w:r>
    </w:p>
    <w:p w:rsidR="00000000" w:rsidDel="00000000" w:rsidP="00000000" w:rsidRDefault="00000000" w:rsidRPr="00000000">
      <w:pPr>
        <w:spacing w:after="0" w:lineRule="auto"/>
        <w:contextualSpacing w:val="0"/>
        <w:jc w:val="both"/>
      </w:pPr>
      <w:r w:rsidDel="00000000" w:rsidR="00000000" w:rsidRPr="00000000">
        <w:rPr>
          <w:i w:val="0"/>
          <w:color w:val="808080"/>
          <w:rtl w:val="0"/>
        </w:rPr>
        <w:t xml:space="preserve">La principal actividad económica de Antofagasta sigue siendo la minería, que representa casi el 65% de la actividad económica regional y que genera además más del 45% del PIB minero del país. La región lidera la producción de cobre, molibdeno, apatita, carbonato y cloruro de litio, nitratos, sulfato de sodio anhídrico y yodo. </w:t>
      </w:r>
    </w:p>
    <w:p w:rsidR="00000000" w:rsidDel="00000000" w:rsidP="00000000" w:rsidRDefault="00000000" w:rsidRPr="00000000">
      <w:pPr>
        <w:spacing w:after="0" w:lineRule="auto"/>
        <w:contextualSpacing w:val="0"/>
        <w:jc w:val="both"/>
      </w:pPr>
      <w:r w:rsidDel="00000000" w:rsidR="00000000" w:rsidRPr="00000000">
        <w:rPr>
          <w:color w:val="808080"/>
          <w:rtl w:val="0"/>
        </w:rPr>
        <w:t xml:space="preserve">En términos de empleo, la minería cedió paso al sector de servicios en las actividades comerciales, inmobiliarias y empresariales; pasando a ser el tercero. La actividad silvo-agropecuaria es poco gravitante en términos regionales debido a la escasez de recursos hídricos y a la calidad de los suelos que son eminentemente salinos de gran aridez. Sin embargo, tiene una gran importancia para las comunidades de los valles y oasis del interior, para los cuales más que una actividad económica es una forma de vida y el establecimiento de una economía de subsistencia.  </w:t>
      </w:r>
    </w:p>
    <w:p w:rsidR="00000000" w:rsidDel="00000000" w:rsidP="00000000" w:rsidRDefault="00000000" w:rsidRPr="00000000">
      <w:pPr>
        <w:spacing w:after="0" w:lineRule="auto"/>
        <w:contextualSpacing w:val="0"/>
        <w:jc w:val="both"/>
      </w:pPr>
      <w:bookmarkStart w:colFirst="0" w:colLast="0" w:name="_rzkg7gvs4o1" w:id="0"/>
      <w:bookmarkEnd w:id="0"/>
      <w:r w:rsidDel="00000000" w:rsidR="00000000" w:rsidRPr="00000000">
        <w:rPr>
          <w:color w:val="808080"/>
          <w:rtl w:val="0"/>
        </w:rPr>
        <w:t xml:space="preserve">Según estudios del 2013, los sectores más dinámicos fueron la Construcción por el crecimiento del subsector Obras de ingeniería; Servicios Financieros y Empresariales, por el subsector Servicios Inmobiliarios; y Comercio, Restaurantes y Hoteles por el crecimiento en todos los subsectores.</w:t>
      </w:r>
    </w:p>
    <w:p w:rsidR="00000000" w:rsidDel="00000000" w:rsidP="00000000" w:rsidRDefault="00000000" w:rsidRPr="00000000">
      <w:pPr>
        <w:spacing w:after="0" w:lineRule="auto"/>
        <w:contextualSpacing w:val="0"/>
        <w:jc w:val="both"/>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i w:val="1"/>
          <w:rtl w:val="0"/>
        </w:rPr>
        <w:t xml:space="preserve">Principales exportaciones:</w:t>
      </w:r>
    </w:p>
    <w:p w:rsidR="00000000" w:rsidDel="00000000" w:rsidP="00000000" w:rsidRDefault="00000000" w:rsidRPr="00000000">
      <w:pPr>
        <w:spacing w:after="0" w:lineRule="auto"/>
        <w:contextualSpacing w:val="0"/>
        <w:jc w:val="both"/>
      </w:pPr>
      <w:bookmarkStart w:colFirst="0" w:colLast="0" w:name="_gjdgxs" w:id="1"/>
      <w:bookmarkEnd w:id="1"/>
      <w:r w:rsidDel="00000000" w:rsidR="00000000" w:rsidRPr="00000000">
        <w:rPr>
          <w:i w:val="0"/>
          <w:color w:val="808080"/>
          <w:rtl w:val="0"/>
        </w:rPr>
        <w:t xml:space="preserve">En lo que hace al valor de las exportaciones sin embargo, el peso relativo de Antofagasta es muy mayor y se posicionó en 2014 en 31,4% y en el 31,9% en 2015. Esto se debe a las explotaciones mineras (95% de las exportaciones regionales </w:t>
      </w:r>
      <w:r w:rsidDel="00000000" w:rsidR="00000000" w:rsidRPr="00000000">
        <w:rPr>
          <w:color w:val="808080"/>
          <w:rtl w:val="0"/>
        </w:rPr>
        <w:t xml:space="preserve">-</w:t>
      </w:r>
      <w:r w:rsidDel="00000000" w:rsidR="00000000" w:rsidRPr="00000000">
        <w:rPr>
          <w:i w:val="0"/>
          <w:color w:val="808080"/>
          <w:rtl w:val="0"/>
        </w:rPr>
        <w:t xml:space="preserve">principalmente por el cobre y el salitre-) desarrolladas por grandes empresas privadas y una estatal (CODELCO), con tecnología avanzada y altos niveles de productividad. En el 5% restante se destacan otros productos metálicos, industria de metales no ferrosos y alimentos como la harina y el aceite de pescado.</w:t>
      </w:r>
    </w:p>
    <w:p w:rsidR="00000000" w:rsidDel="00000000" w:rsidP="00000000" w:rsidRDefault="00000000" w:rsidRPr="00000000">
      <w:pPr>
        <w:spacing w:after="0" w:lineRule="auto"/>
        <w:contextualSpacing w:val="0"/>
        <w:jc w:val="both"/>
      </w:pPr>
      <w:r w:rsidDel="00000000" w:rsidR="00000000" w:rsidRPr="00000000">
        <w:rPr>
          <w:i w:val="0"/>
          <w:color w:val="808080"/>
          <w:rtl w:val="0"/>
        </w:rPr>
        <w:t xml:space="preserve">En este sentido, podemos decir que Antofagasta sigue siendo una región mono-exportadora de recursos naturales no renovables que si bien le concede una gran incidencia en el presupuesto y desarrollo nacional; hasta ahora no ha generado encadenamientos productivos que consoliden una diversificación productiva. El desarrollo de las pequeñas y medianas empresas ha sido muy débil, a pesar de los esfuerzos emprendidos a través de instrumentos de fomento del estado y de las propias empresas mineras.</w:t>
      </w:r>
    </w:p>
    <w:p w:rsidR="00000000" w:rsidDel="00000000" w:rsidP="00000000" w:rsidRDefault="00000000" w:rsidRPr="00000000">
      <w:pPr>
        <w:spacing w:after="0" w:lineRule="auto"/>
        <w:contextualSpacing w:val="0"/>
        <w:jc w:val="both"/>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i w:val="1"/>
          <w:rtl w:val="0"/>
        </w:rPr>
        <w:t xml:space="preserve">Principales cadenas productivas:</w:t>
      </w:r>
    </w:p>
    <w:p w:rsidR="00000000" w:rsidDel="00000000" w:rsidP="00000000" w:rsidRDefault="00000000" w:rsidRPr="00000000">
      <w:pPr>
        <w:keepNext w:val="0"/>
        <w:keepLines w:val="0"/>
        <w:widowControl w:val="1"/>
        <w:spacing w:after="0" w:before="0" w:line="276" w:lineRule="auto"/>
        <w:ind w:left="0" w:right="0" w:firstLine="0"/>
        <w:contextualSpacing w:val="0"/>
        <w:jc w:val="both"/>
      </w:pPr>
      <w:bookmarkStart w:colFirst="0" w:colLast="0" w:name="_jl09ch8uukf" w:id="2"/>
      <w:bookmarkEnd w:id="2"/>
      <w:r w:rsidDel="00000000" w:rsidR="00000000" w:rsidRPr="00000000">
        <w:rPr>
          <w:color w:val="808080"/>
          <w:rtl w:val="0"/>
        </w:rPr>
        <w:t xml:space="preserve">Las principales cadenas productivas de Antofagasta aún giran casi exclusivamente entorno de los productos mineros; especialmente la cadena del cobre. Luego se posicionan las de harina de pescado, algas, aceite de pescado y pescado congelado. Se avizoran esperanzas en el desarrollo de energías en base a las nuevas centrales termoeléctricas para abastecer a las mineras.</w:t>
      </w:r>
    </w:p>
    <w:p w:rsidR="00000000" w:rsidDel="00000000" w:rsidP="00000000" w:rsidRDefault="00000000" w:rsidRPr="00000000">
      <w:pPr>
        <w:keepNext w:val="0"/>
        <w:keepLines w:val="0"/>
        <w:widowControl w:val="1"/>
        <w:spacing w:after="0" w:before="0" w:line="276" w:lineRule="auto"/>
        <w:ind w:left="0" w:right="0" w:firstLine="0"/>
        <w:contextualSpacing w:val="0"/>
        <w:jc w:val="both"/>
      </w:pPr>
      <w:bookmarkStart w:colFirst="0" w:colLast="0" w:name="_kev155sxkj88" w:id="3"/>
      <w:bookmarkEnd w:id="3"/>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i w:val="1"/>
          <w:rtl w:val="0"/>
        </w:rPr>
        <w:t xml:space="preserve">Estructura económica:</w:t>
      </w:r>
      <w:r w:rsidDel="00000000" w:rsidR="00000000" w:rsidRPr="00000000">
        <w:rPr>
          <w:rtl w:val="0"/>
        </w:rPr>
      </w:r>
    </w:p>
    <w:p w:rsidR="00000000" w:rsidDel="00000000" w:rsidP="00000000" w:rsidRDefault="00000000" w:rsidRPr="00000000">
      <w:pPr>
        <w:spacing w:after="0" w:lineRule="auto"/>
        <w:contextualSpacing w:val="0"/>
        <w:jc w:val="both"/>
      </w:pPr>
      <w:r w:rsidDel="00000000" w:rsidR="00000000" w:rsidRPr="00000000">
        <w:rPr>
          <w:color w:val="808080"/>
          <w:rtl w:val="0"/>
        </w:rPr>
        <w:t xml:space="preserve">La economía se encuentra fuertemente versada al sector primario por tracción de la extracción cuprífera y cuenta con un escaso desarrollo de las actividades agrícolas en tanto el territorio es estéril en más del 99% de su extensión por lo que por el momento califica de actividad de subsistencia y para consumo local. La construcción y las actividades del turismo por su parte, sí son considerables. En 2010, el sector primario representó un 66,1% del PBI regional, mientras que las actividades secundarias alcanzaron el 16,6% y el sector terciario otro 17,1%.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17" w:top="1417" w:left="1701" w:right="17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Cambr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200" w:before="0" w:line="276" w:lineRule="auto"/>
    </w:pPr>
    <w:rPr>
      <w:rFonts w:ascii="Cambria" w:cs="Cambria" w:eastAsia="Cambria" w:hAnsi="Cambria"/>
      <w:b w:val="0"/>
      <w:i w:val="1"/>
      <w:color w:val="4f81bd"/>
      <w:sz w:val="24"/>
      <w:szCs w:val="24"/>
    </w:rPr>
  </w:style>
  <w:style w:type="table" w:styleId="Table1">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tcPr>
      <w:shd w:fill="fdeada"/>
    </w:tcPr>
    <w:tblStylePr w:type="band1Horz">
      <w:pPr>
        <w:contextualSpacing w:val="1"/>
      </w:pPr>
      <w:rPr/>
      <w:tcPr>
        <w:shd w:fill="fbcaa2"/>
        <w:tcMar>
          <w:left w:w="115.0" w:type="dxa"/>
          <w:right w:w="115.0" w:type="dxa"/>
        </w:tcMar>
      </w:tcPr>
    </w:tblStylePr>
    <w:tblStylePr w:type="band1Vert">
      <w:pPr>
        <w:contextualSpacing w:val="1"/>
      </w:pPr>
      <w:rPr/>
      <w:tcPr>
        <w:shd w:fill="fbcaa2"/>
        <w:tcMar>
          <w:left w:w="115.0" w:type="dxa"/>
          <w:right w:w="115.0" w:type="dxa"/>
        </w:tcMar>
      </w:tcPr>
    </w:tblStylePr>
    <w:tblStylePr w:type="band2Horz"/>
    <w:tblStylePr w:type="band2Vert"/>
    <w:tblStylePr w:type="firstCol">
      <w:pPr>
        <w:contextualSpacing w:val="1"/>
      </w:pPr>
      <w:rPr>
        <w:color w:val="ffffff"/>
      </w:rPr>
      <w:tcPr>
        <w:shd w:fill="e36c09"/>
        <w:tcMar>
          <w:left w:w="115.0" w:type="dxa"/>
          <w:right w:w="115.0" w:type="dxa"/>
        </w:tcMar>
      </w:tcPr>
    </w:tblStylePr>
    <w:tblStylePr w:type="firstRow">
      <w:pPr>
        <w:contextualSpacing w:val="1"/>
      </w:pPr>
      <w:rPr>
        <w:b w:val="1"/>
      </w:rPr>
      <w:tcPr>
        <w:shd w:fill="fbd5b5"/>
        <w:tcMar>
          <w:left w:w="115.0" w:type="dxa"/>
          <w:right w:w="115.0" w:type="dxa"/>
        </w:tcMar>
      </w:tcPr>
    </w:tblStylePr>
    <w:tblStylePr w:type="lastCol">
      <w:pPr>
        <w:contextualSpacing w:val="1"/>
      </w:pPr>
      <w:rPr>
        <w:color w:val="ffffff"/>
      </w:rPr>
      <w:tcPr>
        <w:shd w:fill="e36c09"/>
        <w:tcMar>
          <w:left w:w="115.0" w:type="dxa"/>
          <w:right w:w="115.0" w:type="dxa"/>
        </w:tcMar>
      </w:tcPr>
    </w:tblStylePr>
    <w:tblStylePr w:type="lastRow">
      <w:pPr>
        <w:contextualSpacing w:val="1"/>
      </w:pPr>
      <w:rPr>
        <w:b w:val="1"/>
        <w:color w:val="000000"/>
      </w:rPr>
      <w:tcPr>
        <w:shd w:fill="fbd5b5"/>
        <w:tcMar>
          <w:left w:w="115.0" w:type="dxa"/>
          <w:right w:w="115.0" w:type="dxa"/>
        </w:tcMar>
      </w:tcPr>
    </w:tblStylePr>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5.png"/><Relationship Id="rId6" Type="http://schemas.openxmlformats.org/officeDocument/2006/relationships/image" Target="media/image01.png"/><Relationship Id="rId7" Type="http://schemas.openxmlformats.org/officeDocument/2006/relationships/image" Target="media/image03.png"/></Relationships>
</file>