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Subtitle"/>
        <w:contextualSpacing w:val="0"/>
      </w:pPr>
      <w:r w:rsidDel="00000000" w:rsidR="00000000" w:rsidRPr="00000000">
        <w:rPr>
          <w:color w:val="984806"/>
          <w:rtl w:val="0"/>
        </w:rPr>
        <w:t xml:space="preserve">Atacama  - Chile</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3722977</wp:posOffset>
            </wp:positionH>
            <wp:positionV relativeFrom="paragraph">
              <wp:posOffset>-688779</wp:posOffset>
            </wp:positionV>
            <wp:extent cx="2632668" cy="2602175"/>
            <wp:effectExtent b="0" l="0" r="0" t="0"/>
            <wp:wrapNone/>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632668" cy="26021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38100</wp:posOffset>
                </wp:positionH>
                <wp:positionV relativeFrom="paragraph">
                  <wp:posOffset>228600</wp:posOffset>
                </wp:positionV>
                <wp:extent cx="2679700" cy="12700"/>
                <wp:effectExtent b="0" l="0" r="0" t="0"/>
                <wp:wrapNone/>
                <wp:docPr id="2" name=""/>
                <a:graphic>
                  <a:graphicData uri="http://schemas.microsoft.com/office/word/2010/wordprocessingShape">
                    <wps:wsp>
                      <wps:cNvCnPr/>
                      <wps:spPr>
                        <a:xfrm>
                          <a:off x="4004544" y="3780000"/>
                          <a:ext cx="2682909" cy="0"/>
                        </a:xfrm>
                        <a:prstGeom prst="straightConnector1">
                          <a:avLst/>
                        </a:prstGeom>
                        <a:noFill/>
                        <a:ln cap="flat" cmpd="sng" w="9525">
                          <a:solidFill>
                            <a:srgbClr val="4A7DBA"/>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38100</wp:posOffset>
                </wp:positionH>
                <wp:positionV relativeFrom="paragraph">
                  <wp:posOffset>228600</wp:posOffset>
                </wp:positionV>
                <wp:extent cx="2679700" cy="127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26797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i w:val="1"/>
          <w:color w:val="808080"/>
          <w:rtl w:val="0"/>
        </w:rPr>
        <w:t xml:space="preserve">Ciudad Capital:</w:t>
      </w:r>
      <w:r w:rsidDel="00000000" w:rsidR="00000000" w:rsidRPr="00000000">
        <w:rPr>
          <w:i w:val="0"/>
          <w:color w:val="808080"/>
          <w:rtl w:val="0"/>
        </w:rPr>
        <w:t xml:space="preserve"> Copiapó</w:t>
      </w:r>
    </w:p>
    <w:p w:rsidR="00000000" w:rsidDel="00000000" w:rsidP="00000000" w:rsidRDefault="00000000" w:rsidRPr="00000000">
      <w:pPr>
        <w:contextualSpacing w:val="0"/>
      </w:pPr>
      <w:r w:rsidDel="00000000" w:rsidR="00000000" w:rsidRPr="00000000">
        <w:rPr>
          <w:i w:val="1"/>
          <w:color w:val="808080"/>
          <w:rtl w:val="0"/>
        </w:rPr>
        <w:t xml:space="preserve">Superficie:</w:t>
      </w:r>
      <w:r w:rsidDel="00000000" w:rsidR="00000000" w:rsidRPr="00000000">
        <w:rPr>
          <w:rFonts w:ascii="Arial" w:cs="Arial" w:eastAsia="Arial" w:hAnsi="Arial"/>
          <w:color w:val="000000"/>
          <w:sz w:val="19"/>
          <w:szCs w:val="19"/>
          <w:shd w:fill="f9f9f9" w:val="clear"/>
          <w:rtl w:val="0"/>
        </w:rPr>
        <w:t xml:space="preserve"> </w:t>
      </w:r>
      <w:r w:rsidDel="00000000" w:rsidR="00000000" w:rsidRPr="00000000">
        <w:rPr>
          <w:i w:val="0"/>
          <w:color w:val="808080"/>
          <w:rtl w:val="0"/>
        </w:rPr>
        <w:t xml:space="preserve">75.176,2</w:t>
      </w:r>
      <w:r w:rsidDel="00000000" w:rsidR="00000000" w:rsidRPr="00000000">
        <w:rPr>
          <w:rFonts w:ascii="Arial" w:cs="Arial" w:eastAsia="Arial" w:hAnsi="Arial"/>
          <w:color w:val="000000"/>
          <w:sz w:val="19"/>
          <w:szCs w:val="19"/>
          <w:shd w:fill="f9f9f9" w:val="clear"/>
          <w:rtl w:val="0"/>
        </w:rPr>
        <w:t xml:space="preserve"> </w:t>
      </w:r>
      <w:r w:rsidDel="00000000" w:rsidR="00000000" w:rsidRPr="00000000">
        <w:rPr>
          <w:i w:val="0"/>
          <w:color w:val="808080"/>
          <w:rtl w:val="0"/>
        </w:rPr>
        <w:t xml:space="preserve">Km</w:t>
      </w:r>
      <w:r w:rsidDel="00000000" w:rsidR="00000000" w:rsidRPr="00000000">
        <w:rPr>
          <w:i w:val="0"/>
          <w:color w:val="808080"/>
          <w:vertAlign w:val="superscript"/>
          <w:rtl w:val="0"/>
        </w:rPr>
        <w:t xml:space="preserve">2</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808080"/>
          <w:rtl w:val="0"/>
        </w:rPr>
        <w:t xml:space="preserve">Población:</w:t>
      </w:r>
      <w:r w:rsidDel="00000000" w:rsidR="00000000" w:rsidRPr="00000000">
        <w:rPr>
          <w:rFonts w:ascii="Calibri" w:cs="Calibri" w:eastAsia="Calibri" w:hAnsi="Calibri"/>
          <w:color w:val="000000"/>
          <w:rtl w:val="0"/>
        </w:rPr>
        <w:t xml:space="preserve"> </w:t>
      </w:r>
      <w:r w:rsidDel="00000000" w:rsidR="00000000" w:rsidRPr="00000000">
        <w:rPr>
          <w:i w:val="0"/>
          <w:color w:val="808080"/>
          <w:rtl w:val="0"/>
        </w:rPr>
        <w:t xml:space="preserve">312.486</w:t>
      </w:r>
      <w:r w:rsidDel="00000000" w:rsidR="00000000" w:rsidRPr="00000000">
        <w:rPr>
          <w:rFonts w:ascii="Arial" w:cs="Arial" w:eastAsia="Arial" w:hAnsi="Arial"/>
          <w:color w:val="000000"/>
          <w:sz w:val="19"/>
          <w:szCs w:val="19"/>
          <w:shd w:fill="f9f9f9" w:val="clear"/>
          <w:rtl w:val="0"/>
        </w:rPr>
        <w:t xml:space="preserve"> </w:t>
      </w:r>
      <w:r w:rsidDel="00000000" w:rsidR="00000000" w:rsidRPr="00000000">
        <w:rPr>
          <w:i w:val="0"/>
          <w:color w:val="808080"/>
          <w:rtl w:val="0"/>
        </w:rPr>
        <w:t xml:space="preserve">habitantes (2015)</w:t>
      </w:r>
    </w:p>
    <w:p w:rsidR="00000000" w:rsidDel="00000000" w:rsidP="00000000" w:rsidRDefault="00000000" w:rsidRPr="00000000">
      <w:pPr>
        <w:contextualSpacing w:val="0"/>
      </w:pPr>
      <w:r w:rsidDel="00000000" w:rsidR="00000000" w:rsidRPr="00000000">
        <w:rPr>
          <w:i w:val="1"/>
          <w:color w:val="808080"/>
          <w:rtl w:val="0"/>
        </w:rPr>
        <w:t xml:space="preserve">Intendente</w:t>
      </w:r>
      <w:r w:rsidDel="00000000" w:rsidR="00000000" w:rsidRPr="00000000">
        <w:rPr>
          <w:i w:val="0"/>
          <w:color w:val="808080"/>
          <w:rtl w:val="0"/>
        </w:rPr>
        <w:t xml:space="preserve"> Miguel Vargas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bl>
      <w:tblPr>
        <w:tblStyle w:val="Table1"/>
        <w:bidiVisual w:val="0"/>
        <w:tblW w:w="9075.0" w:type="dxa"/>
        <w:jc w:val="left"/>
        <w:tblInd w:w="-115.0" w:type="dxa"/>
        <w:tblBorders>
          <w:top w:color="000000" w:space="0" w:sz="4" w:val="single"/>
          <w:left w:color="000000" w:space="0" w:sz="4" w:val="single"/>
          <w:bottom w:color="000000" w:space="0" w:sz="4" w:val="single"/>
          <w:right w:color="000000" w:space="0" w:sz="4" w:val="single"/>
          <w:insideH w:color="ffffff" w:space="0" w:sz="4" w:val="single"/>
          <w:insideV w:color="000000" w:space="0" w:sz="4" w:val="single"/>
        </w:tblBorders>
        <w:tblLayout w:type="fixed"/>
        <w:tblLook w:val="04A0"/>
      </w:tblPr>
      <w:tblGrid>
        <w:gridCol w:w="2280"/>
        <w:gridCol w:w="3015"/>
        <w:gridCol w:w="1425"/>
        <w:gridCol w:w="1170"/>
        <w:gridCol w:w="1185"/>
        <w:tblGridChange w:id="0">
          <w:tblGrid>
            <w:gridCol w:w="2280"/>
            <w:gridCol w:w="3015"/>
            <w:gridCol w:w="1425"/>
            <w:gridCol w:w="1170"/>
            <w:gridCol w:w="1185"/>
          </w:tblGrid>
        </w:tblGridChange>
      </w:tblGrid>
      <w:tr>
        <w:tc>
          <w:tcPr/>
          <w:p w:rsidR="00000000" w:rsidDel="00000000" w:rsidP="00000000" w:rsidRDefault="00000000" w:rsidRPr="00000000">
            <w:pPr>
              <w:contextualSpacing w:val="0"/>
              <w:jc w:val="center"/>
            </w:pPr>
            <w:r w:rsidDel="00000000" w:rsidR="00000000" w:rsidRPr="00000000">
              <w:rPr>
                <w:b w:val="0"/>
                <w:color w:val="000000"/>
                <w:rtl w:val="0"/>
              </w:rPr>
              <w:t xml:space="preserve">Indicadores de referencia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t xml:space="preserve">Indicador</w:t>
            </w:r>
          </w:p>
        </w:tc>
        <w:tc>
          <w:tcPr/>
          <w:p w:rsidR="00000000" w:rsidDel="00000000" w:rsidP="00000000" w:rsidRDefault="00000000" w:rsidRPr="00000000">
            <w:pPr>
              <w:contextualSpacing w:val="0"/>
            </w:pPr>
            <w:r w:rsidDel="00000000" w:rsidR="00000000" w:rsidRPr="00000000">
              <w:rPr>
                <w:rtl w:val="0"/>
              </w:rPr>
              <w:t xml:space="preserve">Valor</w:t>
            </w:r>
          </w:p>
        </w:tc>
        <w:tc>
          <w:tcPr/>
          <w:p w:rsidR="00000000" w:rsidDel="00000000" w:rsidP="00000000" w:rsidRDefault="00000000" w:rsidRPr="00000000">
            <w:pPr>
              <w:contextualSpacing w:val="0"/>
            </w:pPr>
            <w:r w:rsidDel="00000000" w:rsidR="00000000" w:rsidRPr="00000000">
              <w:rPr>
                <w:rtl w:val="0"/>
              </w:rPr>
              <w:t xml:space="preserve">Año</w:t>
            </w:r>
          </w:p>
        </w:tc>
        <w:tc>
          <w:tcPr/>
          <w:p w:rsidR="00000000" w:rsidDel="00000000" w:rsidP="00000000" w:rsidRDefault="00000000" w:rsidRPr="00000000">
            <w:pPr>
              <w:contextualSpacing w:val="0"/>
            </w:pPr>
            <w:r w:rsidDel="00000000" w:rsidR="00000000" w:rsidRPr="00000000">
              <w:rPr>
                <w:rtl w:val="0"/>
              </w:rPr>
              <w:t xml:space="preserve">Fuente</w:t>
            </w:r>
          </w:p>
        </w:tc>
      </w:tr>
      <w:tr>
        <w:tc>
          <w:tcPr/>
          <w:p w:rsidR="00000000" w:rsidDel="00000000" w:rsidP="00000000" w:rsidRDefault="00000000" w:rsidRPr="00000000">
            <w:pPr>
              <w:contextualSpacing w:val="0"/>
            </w:pPr>
            <w:r w:rsidDel="00000000" w:rsidR="00000000" w:rsidRPr="00000000">
              <w:rPr>
                <w:b w:val="1"/>
                <w:color w:val="000000"/>
                <w:rtl w:val="0"/>
              </w:rPr>
              <w:t xml:space="preserve">Educación</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Matrícula Escolar Total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Alumnos Matriculados en Educación Superior</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77.642</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12.033</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2014</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w:t>
            </w:r>
          </w:p>
        </w:tc>
      </w:tr>
      <w:tr>
        <w:tc>
          <w:tcPr/>
          <w:p w:rsidR="00000000" w:rsidDel="00000000" w:rsidP="00000000" w:rsidRDefault="00000000" w:rsidRPr="00000000">
            <w:pPr>
              <w:contextualSpacing w:val="0"/>
            </w:pPr>
            <w:r w:rsidDel="00000000" w:rsidR="00000000" w:rsidRPr="00000000">
              <w:rPr>
                <w:b w:val="1"/>
                <w:color w:val="000000"/>
                <w:rtl w:val="0"/>
              </w:rPr>
              <w:t xml:space="preserve">Salud</w:t>
            </w:r>
          </w:p>
        </w:tc>
        <w:tc>
          <w:tcPr/>
          <w:p w:rsidR="00000000" w:rsidDel="00000000" w:rsidP="00000000" w:rsidRDefault="00000000" w:rsidRPr="00000000">
            <w:pPr>
              <w:contextualSpacing w:val="0"/>
              <w:jc w:val="center"/>
            </w:pPr>
            <w:r w:rsidDel="00000000" w:rsidR="00000000" w:rsidRPr="00000000">
              <w:rPr>
                <w:rtl w:val="0"/>
              </w:rPr>
              <w:t xml:space="preserve">Tasa de Mortalidad</w:t>
            </w:r>
          </w:p>
          <w:p w:rsidR="00000000" w:rsidDel="00000000" w:rsidP="00000000" w:rsidRDefault="00000000" w:rsidRPr="00000000">
            <w:pPr>
              <w:contextualSpacing w:val="0"/>
              <w:jc w:val="center"/>
            </w:pPr>
            <w:r w:rsidDel="00000000" w:rsidR="00000000" w:rsidRPr="00000000">
              <w:rPr>
                <w:rtl w:val="0"/>
              </w:rPr>
              <w:t xml:space="preserve">(cada 1.000 nacidos)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Camas Hospitalarias cada 1.000 habitantes</w:t>
            </w:r>
          </w:p>
        </w:tc>
        <w:tc>
          <w:tcPr>
            <w:vAlign w:val="center"/>
          </w:tcPr>
          <w:p w:rsidR="00000000" w:rsidDel="00000000" w:rsidP="00000000" w:rsidRDefault="00000000" w:rsidRPr="00000000">
            <w:pPr>
              <w:contextualSpacing w:val="0"/>
              <w:jc w:val="center"/>
            </w:pPr>
            <w:r w:rsidDel="00000000" w:rsidR="00000000" w:rsidRPr="00000000">
              <w:rPr>
                <w:rtl w:val="0"/>
              </w:rPr>
              <w:t xml:space="preserve">8,0</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562</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2009</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2013</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w:t>
            </w:r>
          </w:p>
        </w:tc>
      </w:tr>
      <w:tr>
        <w:tc>
          <w:tcPr/>
          <w:p w:rsidR="00000000" w:rsidDel="00000000" w:rsidP="00000000" w:rsidRDefault="00000000" w:rsidRPr="00000000">
            <w:pPr>
              <w:contextualSpacing w:val="0"/>
            </w:pPr>
            <w:r w:rsidDel="00000000" w:rsidR="00000000" w:rsidRPr="00000000">
              <w:rPr>
                <w:b w:val="1"/>
                <w:color w:val="000000"/>
                <w:rtl w:val="0"/>
              </w:rPr>
              <w:t xml:space="preserve">Empleo</w:t>
            </w:r>
          </w:p>
        </w:tc>
        <w:tc>
          <w:tcPr/>
          <w:p w:rsidR="00000000" w:rsidDel="00000000" w:rsidP="00000000" w:rsidRDefault="00000000" w:rsidRPr="00000000">
            <w:pPr>
              <w:contextualSpacing w:val="0"/>
              <w:jc w:val="center"/>
            </w:pPr>
            <w:r w:rsidDel="00000000" w:rsidR="00000000" w:rsidRPr="00000000">
              <w:rPr>
                <w:rtl w:val="0"/>
              </w:rPr>
              <w:t xml:space="preserve">PEA Ocupada</w:t>
            </w:r>
          </w:p>
          <w:p w:rsidR="00000000" w:rsidDel="00000000" w:rsidP="00000000" w:rsidRDefault="00000000" w:rsidRPr="00000000">
            <w:pPr>
              <w:contextualSpacing w:val="0"/>
              <w:jc w:val="center"/>
            </w:pPr>
            <w:r w:rsidDel="00000000" w:rsidR="00000000" w:rsidRPr="00000000">
              <w:rPr>
                <w:rtl w:val="0"/>
              </w:rPr>
              <w:t xml:space="preserve">(miles de personas)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Tasa de Desocupación</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234,91</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8,28%</w:t>
            </w:r>
          </w:p>
        </w:tc>
        <w:tc>
          <w:tcPr>
            <w:vAlign w:val="center"/>
          </w:tcPr>
          <w:p w:rsidR="00000000" w:rsidDel="00000000" w:rsidP="00000000" w:rsidRDefault="00000000" w:rsidRPr="00000000">
            <w:pPr>
              <w:contextualSpacing w:val="0"/>
              <w:jc w:val="center"/>
            </w:pPr>
            <w:r w:rsidDel="00000000" w:rsidR="00000000" w:rsidRPr="00000000">
              <w:rPr>
                <w:rtl w:val="0"/>
              </w:rPr>
              <w:t xml:space="preserve">Jul-Sep.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2016</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w:t>
            </w:r>
          </w:p>
        </w:tc>
      </w:tr>
      <w:tr>
        <w:tc>
          <w:tcPr/>
          <w:p w:rsidR="00000000" w:rsidDel="00000000" w:rsidP="00000000" w:rsidRDefault="00000000" w:rsidRPr="00000000">
            <w:pPr>
              <w:contextualSpacing w:val="0"/>
            </w:pPr>
            <w:r w:rsidDel="00000000" w:rsidR="00000000" w:rsidRPr="00000000">
              <w:rPr>
                <w:b w:val="1"/>
                <w:color w:val="000000"/>
                <w:rtl w:val="0"/>
              </w:rPr>
              <w:t xml:space="preserve">PBI</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Participación en PBI nacional</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2,19%</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2014</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w:t>
            </w:r>
          </w:p>
        </w:tc>
      </w:tr>
      <w:tr>
        <w:tc>
          <w:tcPr/>
          <w:p w:rsidR="00000000" w:rsidDel="00000000" w:rsidP="00000000" w:rsidRDefault="00000000" w:rsidRPr="00000000">
            <w:pPr>
              <w:contextualSpacing w:val="0"/>
            </w:pPr>
            <w:r w:rsidDel="00000000" w:rsidR="00000000" w:rsidRPr="00000000">
              <w:rPr>
                <w:b w:val="1"/>
                <w:color w:val="000000"/>
                <w:rtl w:val="0"/>
              </w:rPr>
              <w:t xml:space="preserve">Exportaciones</w:t>
            </w:r>
          </w:p>
        </w:tc>
        <w:tc>
          <w:tcPr/>
          <w:p w:rsidR="00000000" w:rsidDel="00000000" w:rsidP="00000000" w:rsidRDefault="00000000" w:rsidRPr="00000000">
            <w:pPr>
              <w:contextualSpacing w:val="0"/>
              <w:jc w:val="center"/>
            </w:pPr>
            <w:r w:rsidDel="00000000" w:rsidR="00000000" w:rsidRPr="00000000">
              <w:rPr>
                <w:rtl w:val="0"/>
              </w:rPr>
              <w:t xml:space="preserve">Valor de exportaciones</w:t>
            </w:r>
          </w:p>
          <w:p w:rsidR="00000000" w:rsidDel="00000000" w:rsidP="00000000" w:rsidRDefault="00000000" w:rsidRPr="00000000">
            <w:pPr>
              <w:contextualSpacing w:val="0"/>
              <w:jc w:val="center"/>
            </w:pPr>
            <w:r w:rsidDel="00000000" w:rsidR="00000000" w:rsidRPr="00000000">
              <w:rPr>
                <w:rtl w:val="0"/>
              </w:rPr>
              <w:t xml:space="preserve"> (en millones de US$ FOB)</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2.078,8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2014</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w:t>
            </w:r>
          </w:p>
        </w:tc>
      </w:tr>
      <w:tr>
        <w:tc>
          <w:tcPr/>
          <w:p w:rsidR="00000000" w:rsidDel="00000000" w:rsidP="00000000" w:rsidRDefault="00000000" w:rsidRPr="00000000">
            <w:pPr>
              <w:contextualSpacing w:val="0"/>
            </w:pPr>
            <w:r w:rsidDel="00000000" w:rsidR="00000000" w:rsidRPr="00000000">
              <w:rPr>
                <w:b w:val="1"/>
                <w:color w:val="000000"/>
                <w:rtl w:val="0"/>
              </w:rPr>
              <w:t xml:space="preserve">IDH</w:t>
            </w:r>
          </w:p>
        </w:tc>
        <w:tc>
          <w:tcPr/>
          <w:p w:rsidR="00000000" w:rsidDel="00000000" w:rsidP="00000000" w:rsidRDefault="00000000" w:rsidRPr="00000000">
            <w:pPr>
              <w:contextualSpacing w:val="0"/>
              <w:jc w:val="center"/>
            </w:pPr>
            <w:r w:rsidDel="00000000" w:rsidR="00000000" w:rsidRPr="00000000">
              <w:rPr>
                <w:rtl w:val="0"/>
              </w:rPr>
              <w:t xml:space="preserve">Índice de Desarrollo Humano</w:t>
            </w:r>
          </w:p>
        </w:tc>
        <w:tc>
          <w:tcPr>
            <w:vAlign w:val="center"/>
          </w:tcPr>
          <w:p w:rsidR="00000000" w:rsidDel="00000000" w:rsidP="00000000" w:rsidRDefault="00000000" w:rsidRPr="00000000">
            <w:pPr>
              <w:contextualSpacing w:val="0"/>
              <w:jc w:val="center"/>
            </w:pPr>
            <w:r w:rsidDel="00000000" w:rsidR="00000000" w:rsidRPr="00000000">
              <w:rPr>
                <w:rtl w:val="0"/>
              </w:rPr>
              <w:t xml:space="preserve">0,900</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2015</w:t>
            </w:r>
          </w:p>
        </w:tc>
        <w:tc>
          <w:tcPr>
            <w:vAlign w:val="cente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tl w:val="0"/>
              </w:rPr>
              <w:t xml:space="preserve">PNUD</w:t>
            </w:r>
          </w:p>
        </w:tc>
      </w:tr>
      <w:tr>
        <w:tc>
          <w:tcPr/>
          <w:p w:rsidR="00000000" w:rsidDel="00000000" w:rsidP="00000000" w:rsidRDefault="00000000" w:rsidRPr="00000000">
            <w:pPr>
              <w:contextualSpacing w:val="0"/>
            </w:pPr>
            <w:r w:rsidDel="00000000" w:rsidR="00000000" w:rsidRPr="00000000">
              <w:rPr>
                <w:b w:val="1"/>
                <w:color w:val="000000"/>
                <w:rtl w:val="0"/>
              </w:rPr>
              <w:t xml:space="preserve">Ingresos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t xml:space="preserve">Ingreso Medio Mensual </w:t>
            </w:r>
          </w:p>
          <w:p w:rsidR="00000000" w:rsidDel="00000000" w:rsidP="00000000" w:rsidRDefault="00000000" w:rsidRPr="00000000">
            <w:pPr>
              <w:contextualSpacing w:val="0"/>
              <w:jc w:val="center"/>
            </w:pPr>
            <w:r w:rsidDel="00000000" w:rsidR="00000000" w:rsidRPr="00000000">
              <w:rPr>
                <w:rtl w:val="0"/>
              </w:rPr>
              <w:t xml:space="preserve">de los ocupados (en Pesos)</w:t>
            </w:r>
          </w:p>
        </w:tc>
        <w:tc>
          <w:tcPr>
            <w:vAlign w:val="center"/>
          </w:tcPr>
          <w:p w:rsidR="00000000" w:rsidDel="00000000" w:rsidP="00000000" w:rsidRDefault="00000000" w:rsidRPr="00000000">
            <w:pPr>
              <w:contextualSpacing w:val="0"/>
              <w:jc w:val="center"/>
            </w:pPr>
            <w:r w:rsidDel="00000000" w:rsidR="00000000" w:rsidRPr="00000000">
              <w:rPr>
                <w:rtl w:val="0"/>
              </w:rPr>
              <w:t xml:space="preserve">485.031</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379.971</w:t>
            </w:r>
          </w:p>
        </w:tc>
        <w:tc>
          <w:tcPr>
            <w:vAlign w:val="center"/>
          </w:tcPr>
          <w:p w:rsidR="00000000" w:rsidDel="00000000" w:rsidP="00000000" w:rsidRDefault="00000000" w:rsidRPr="00000000">
            <w:pPr>
              <w:contextualSpacing w:val="0"/>
              <w:jc w:val="center"/>
            </w:pPr>
            <w:r w:rsidDel="00000000" w:rsidR="00000000" w:rsidRPr="00000000">
              <w:rPr>
                <w:rtl w:val="0"/>
              </w:rPr>
              <w:t xml:space="preserve">Oct.-Dic 2014</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2010</w:t>
            </w:r>
          </w:p>
        </w:tc>
        <w:tc>
          <w:tcPr>
            <w:vAlign w:val="cente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tl w:val="0"/>
              </w:rPr>
              <w:t xml:space="preserve">INE</w:t>
            </w:r>
          </w:p>
        </w:tc>
      </w:tr>
      <w:tr>
        <w:tc>
          <w:tcPr/>
          <w:p w:rsidR="00000000" w:rsidDel="00000000" w:rsidP="00000000" w:rsidRDefault="00000000" w:rsidRPr="00000000">
            <w:pPr>
              <w:contextualSpacing w:val="0"/>
            </w:pPr>
            <w:r w:rsidDel="00000000" w:rsidR="00000000" w:rsidRPr="00000000">
              <w:rPr>
                <w:b w:val="1"/>
                <w:color w:val="000000"/>
                <w:rtl w:val="0"/>
              </w:rPr>
              <w:t xml:space="preserve">Estructura económica</w:t>
            </w:r>
          </w:p>
        </w:tc>
        <w:tc>
          <w:tcPr/>
          <w:p w:rsidR="00000000" w:rsidDel="00000000" w:rsidP="00000000" w:rsidRDefault="00000000" w:rsidRPr="00000000">
            <w:pPr>
              <w:contextualSpacing w:val="0"/>
              <w:jc w:val="center"/>
            </w:pPr>
            <w:r w:rsidDel="00000000" w:rsidR="00000000" w:rsidRPr="00000000">
              <w:rPr>
                <w:rtl w:val="0"/>
              </w:rPr>
              <w:t xml:space="preserve">Cantidad de empresas exportadoras</w:t>
            </w:r>
          </w:p>
        </w:tc>
        <w:tc>
          <w:tcPr>
            <w:vAlign w:val="center"/>
          </w:tcPr>
          <w:p w:rsidR="00000000" w:rsidDel="00000000" w:rsidP="00000000" w:rsidRDefault="00000000" w:rsidRPr="00000000">
            <w:pPr>
              <w:contextualSpacing w:val="0"/>
              <w:jc w:val="center"/>
            </w:pPr>
            <w:r w:rsidDel="00000000" w:rsidR="00000000" w:rsidRPr="00000000">
              <w:rPr>
                <w:rtl w:val="0"/>
              </w:rPr>
              <w:t xml:space="preserve">139</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2011</w:t>
            </w:r>
          </w:p>
        </w:tc>
        <w:tc>
          <w:tcPr>
            <w:vAlign w:val="center"/>
          </w:tcPr>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tl w:val="0"/>
              </w:rPr>
              <w:t xml:space="preserve">PROCHILE</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Principales actividades económicas:</w:t>
      </w:r>
    </w:p>
    <w:p w:rsidR="00000000" w:rsidDel="00000000" w:rsidP="00000000" w:rsidRDefault="00000000" w:rsidRPr="00000000">
      <w:pPr>
        <w:spacing w:after="0" w:lineRule="auto"/>
        <w:contextualSpacing w:val="0"/>
        <w:jc w:val="both"/>
      </w:pPr>
      <w:r w:rsidDel="00000000" w:rsidR="00000000" w:rsidRPr="00000000">
        <w:rPr>
          <w:i w:val="0"/>
          <w:color w:val="808080"/>
          <w:rtl w:val="0"/>
        </w:rPr>
        <w:t xml:space="preserve">En lo que hace al empleo, las actividades que más trabajadores ocupan la principal actividad es el comercio. Luego se posicionan la minería, la enseñanza, las actividades manufactureras y en quinto lugar; la agricultura, ganadería, silvicultura y pesca.</w:t>
      </w:r>
    </w:p>
    <w:p w:rsidR="00000000" w:rsidDel="00000000" w:rsidP="00000000" w:rsidRDefault="00000000" w:rsidRPr="00000000">
      <w:pPr>
        <w:spacing w:after="0" w:lineRule="auto"/>
        <w:contextualSpacing w:val="0"/>
        <w:jc w:val="both"/>
      </w:pPr>
      <w:bookmarkStart w:colFirst="0" w:colLast="0" w:name="_gjdgxs" w:id="0"/>
      <w:bookmarkEnd w:id="0"/>
      <w:r w:rsidDel="00000000" w:rsidR="00000000" w:rsidRPr="00000000">
        <w:rPr>
          <w:i w:val="0"/>
          <w:color w:val="808080"/>
          <w:rtl w:val="0"/>
        </w:rPr>
        <w:t xml:space="preserve">En términos de riqueza sin embargo, la </w:t>
      </w:r>
      <w:hyperlink r:id="rId7">
        <w:r w:rsidDel="00000000" w:rsidR="00000000" w:rsidRPr="00000000">
          <w:rPr>
            <w:i w:val="0"/>
            <w:color w:val="808080"/>
            <w:rtl w:val="0"/>
          </w:rPr>
          <w:t xml:space="preserve">minería</w:t>
        </w:r>
      </w:hyperlink>
      <w:r w:rsidDel="00000000" w:rsidR="00000000" w:rsidRPr="00000000">
        <w:rPr>
          <w:i w:val="0"/>
          <w:color w:val="808080"/>
          <w:rtl w:val="0"/>
        </w:rPr>
        <w:t xml:space="preserve"> </w:t>
      </w:r>
      <w:hyperlink r:id="rId8">
        <w:r w:rsidDel="00000000" w:rsidR="00000000" w:rsidRPr="00000000">
          <w:rPr>
            <w:i w:val="0"/>
            <w:color w:val="808080"/>
            <w:rtl w:val="0"/>
          </w:rPr>
          <w:t xml:space="preserve">cuprífera</w:t>
        </w:r>
      </w:hyperlink>
      <w:r w:rsidDel="00000000" w:rsidR="00000000" w:rsidRPr="00000000">
        <w:rPr>
          <w:i w:val="0"/>
          <w:color w:val="808080"/>
          <w:rtl w:val="0"/>
        </w:rPr>
        <w:t xml:space="preserve"> y su fundición son fundamentales. Sólo después de dichas actividades se posiciona la construcción, más lejanamente los servicios personales y luego el sector de transportes. Dentro de la agricultura existente, se destaca la producción de </w:t>
      </w:r>
      <w:hyperlink r:id="rId9">
        <w:r w:rsidDel="00000000" w:rsidR="00000000" w:rsidRPr="00000000">
          <w:rPr>
            <w:i w:val="0"/>
            <w:color w:val="808080"/>
            <w:rtl w:val="0"/>
          </w:rPr>
          <w:t xml:space="preserve">aceitunas</w:t>
        </w:r>
      </w:hyperlink>
      <w:r w:rsidDel="00000000" w:rsidR="00000000" w:rsidRPr="00000000">
        <w:rPr>
          <w:i w:val="0"/>
          <w:color w:val="808080"/>
          <w:rtl w:val="0"/>
        </w:rPr>
        <w:t xml:space="preserve"> y vid; y existe un incipiente desarrollo del turismo.</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Principales exportaciones:</w:t>
      </w:r>
    </w:p>
    <w:p w:rsidR="00000000" w:rsidDel="00000000" w:rsidP="00000000" w:rsidRDefault="00000000" w:rsidRPr="00000000">
      <w:pPr>
        <w:spacing w:after="0" w:lineRule="auto"/>
        <w:contextualSpacing w:val="0"/>
        <w:jc w:val="both"/>
      </w:pPr>
      <w:r w:rsidDel="00000000" w:rsidR="00000000" w:rsidRPr="00000000">
        <w:rPr>
          <w:i w:val="0"/>
          <w:color w:val="808080"/>
          <w:rtl w:val="0"/>
        </w:rPr>
        <w:t xml:space="preserve">Las exportaciones de Atacama han representado el 2,8% de las nacionales tanto en 2014 como 2015 en tanto que las mismas se redujeron en la misma proporción que el valor total nacional. En ambos períodos, la enorme mayoría de las mismas se debieron a la venta de cobre y hierro y sólo en muy pequeña medida a la de productos de la fruticultura.</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Principales cadenas productivas:</w:t>
      </w:r>
    </w:p>
    <w:p w:rsidR="00000000" w:rsidDel="00000000" w:rsidP="00000000" w:rsidRDefault="00000000" w:rsidRPr="00000000">
      <w:pPr>
        <w:contextualSpacing w:val="0"/>
        <w:jc w:val="both"/>
      </w:pPr>
      <w:r w:rsidDel="00000000" w:rsidR="00000000" w:rsidRPr="00000000">
        <w:rPr>
          <w:color w:val="808080"/>
          <w:rtl w:val="0"/>
        </w:rPr>
        <w:t xml:space="preserve">Las principales actividades económicas se encuentran ligadas a la minería, tanto de metálicos como no metálicos. También existen en la región importantes encadenamientos agroindustriales como la de aceitunas de mesa y la vitivinícola, de licores y pisco. Por su parte, en los últimos años se ha puesto la mira también en las cadenas piscícolas, turística, artesanal, de hortalizas, vacunos y caprinos.</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i w:val="1"/>
          <w:rtl w:val="0"/>
        </w:rPr>
        <w:t xml:space="preserve">Estructura económica:</w:t>
      </w:r>
    </w:p>
    <w:p w:rsidR="00000000" w:rsidDel="00000000" w:rsidP="00000000" w:rsidRDefault="00000000" w:rsidRPr="00000000">
      <w:pPr>
        <w:spacing w:after="0" w:lineRule="auto"/>
        <w:contextualSpacing w:val="0"/>
        <w:jc w:val="both"/>
      </w:pPr>
      <w:r w:rsidDel="00000000" w:rsidR="00000000" w:rsidRPr="00000000">
        <w:rPr>
          <w:color w:val="808080"/>
          <w:rtl w:val="0"/>
        </w:rPr>
        <w:t xml:space="preserve">En 2010, el PBI regional se compuso en un 54% de las actividades primarias; de hecho más del 51% del mismo se debe únicamente a las actividades extractivas. El sector secundario implicó el 22% y el terciario un 24%, donde se destaca la construcción.</w:t>
      </w:r>
    </w:p>
    <w:p w:rsidR="00000000" w:rsidDel="00000000" w:rsidP="00000000" w:rsidRDefault="00000000" w:rsidRPr="00000000">
      <w:pPr>
        <w:spacing w:after="0" w:lineRule="auto"/>
        <w:contextualSpacing w:val="0"/>
        <w:jc w:val="both"/>
      </w:pPr>
      <w:r w:rsidDel="00000000" w:rsidR="00000000" w:rsidRPr="00000000">
        <w:rPr>
          <w:color w:val="808080"/>
          <w:rtl w:val="0"/>
        </w:rPr>
        <w:t xml:space="preserve">Según datos oficiales de 2013, un 76,6% del total de empresas de la región corresponde a microempresas, un 20,1% a pequeñas, un 2,4% a medianas y un 0,9% a grandes. Esto implica un nivel de atomización levemente mayor al del país; pero con una tasa de crecimiento de las grandes empresas del 10% entre 2005 y 2013, que supera ampliamente a la del total nacional.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200" w:before="0" w:line="276" w:lineRule="auto"/>
    </w:pPr>
    <w:rPr>
      <w:rFonts w:ascii="Cambria" w:cs="Cambria" w:eastAsia="Cambria" w:hAnsi="Cambria"/>
      <w:b w:val="0"/>
      <w:i w:val="1"/>
      <w:color w:val="4f81bd"/>
      <w:sz w:val="24"/>
      <w:szCs w:val="24"/>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fdeada"/>
    </w:tcPr>
    <w:tblStylePr w:type="band1Horz">
      <w:pPr>
        <w:contextualSpacing w:val="1"/>
      </w:pPr>
      <w:rPr/>
      <w:tcPr>
        <w:shd w:fill="fbcaa2"/>
        <w:tcMar>
          <w:left w:w="115.0" w:type="dxa"/>
          <w:right w:w="115.0" w:type="dxa"/>
        </w:tcMar>
      </w:tcPr>
    </w:tblStylePr>
    <w:tblStylePr w:type="band1Vert">
      <w:pPr>
        <w:contextualSpacing w:val="1"/>
      </w:pPr>
      <w:rPr/>
      <w:tcPr>
        <w:shd w:fill="fbcaa2"/>
        <w:tcMar>
          <w:left w:w="115.0" w:type="dxa"/>
          <w:right w:w="115.0" w:type="dxa"/>
        </w:tcMar>
      </w:tcPr>
    </w:tblStylePr>
    <w:tblStylePr w:type="band2Horz"/>
    <w:tblStylePr w:type="band2Vert"/>
    <w:tblStylePr w:type="firstCol">
      <w:pPr>
        <w:contextualSpacing w:val="1"/>
      </w:pPr>
      <w:rPr>
        <w:color w:val="ffffff"/>
      </w:rPr>
      <w:tcPr>
        <w:shd w:fill="e36c09"/>
        <w:tcMar>
          <w:left w:w="115.0" w:type="dxa"/>
          <w:right w:w="115.0" w:type="dxa"/>
        </w:tcMar>
      </w:tcPr>
    </w:tblStylePr>
    <w:tblStylePr w:type="firstRow">
      <w:pPr>
        <w:contextualSpacing w:val="1"/>
      </w:pPr>
      <w:rPr>
        <w:b w:val="1"/>
      </w:rPr>
      <w:tcPr>
        <w:shd w:fill="fbd5b5"/>
        <w:tcMar>
          <w:left w:w="115.0" w:type="dxa"/>
          <w:right w:w="115.0" w:type="dxa"/>
        </w:tcMar>
      </w:tcPr>
    </w:tblStylePr>
    <w:tblStylePr w:type="lastCol">
      <w:pPr>
        <w:contextualSpacing w:val="1"/>
      </w:pPr>
      <w:rPr>
        <w:color w:val="ffffff"/>
      </w:rPr>
      <w:tcPr>
        <w:shd w:fill="e36c09"/>
        <w:tcMar>
          <w:left w:w="115.0" w:type="dxa"/>
          <w:right w:w="115.0" w:type="dxa"/>
        </w:tcMar>
      </w:tcPr>
    </w:tblStylePr>
    <w:tblStylePr w:type="lastRow">
      <w:pPr>
        <w:contextualSpacing w:val="1"/>
      </w:pPr>
      <w:rPr>
        <w:b w:val="1"/>
        <w:color w:val="000000"/>
      </w:rPr>
      <w:tcPr>
        <w:shd w:fill="fbd5b5"/>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s.wikipedia.org/wiki/Aceituna" TargetMode="Externa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hyperlink" Target="https://es.wikipedia.org/wiki/Miner%C3%ADa" TargetMode="External"/><Relationship Id="rId8" Type="http://schemas.openxmlformats.org/officeDocument/2006/relationships/hyperlink" Target="https://es.wikipedia.org/wiki/Cobre" TargetMode="External"/></Relationships>
</file>