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Subtitle"/>
        <w:contextualSpacing w:val="0"/>
      </w:pPr>
      <w:r w:rsidDel="00000000" w:rsidR="00000000" w:rsidRPr="00000000">
        <w:rPr>
          <w:color w:val="ff0000"/>
          <w:rtl w:val="0"/>
        </w:rPr>
        <w:t xml:space="preserve">Moquegua - Perú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0" locked="0" relativeHeight="0" simplePos="0">
            <wp:simplePos x="0" y="0"/>
            <wp:positionH relativeFrom="margin">
              <wp:posOffset>3722977</wp:posOffset>
            </wp:positionH>
            <wp:positionV relativeFrom="paragraph">
              <wp:posOffset>-688779</wp:posOffset>
            </wp:positionV>
            <wp:extent cx="2632668" cy="2602175"/>
            <wp:effectExtent b="0" l="0" r="0" t="0"/>
            <wp:wrapNone/>
            <wp:docPr id="2" name="image05.png"/>
            <a:graphic>
              <a:graphicData uri="http://schemas.openxmlformats.org/drawingml/2006/picture">
                <pic:pic>
                  <pic:nvPicPr>
                    <pic:cNvPr id="0" name="image05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632668" cy="26021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38100</wp:posOffset>
                </wp:positionH>
                <wp:positionV relativeFrom="paragraph">
                  <wp:posOffset>228600</wp:posOffset>
                </wp:positionV>
                <wp:extent cx="2679700" cy="12700"/>
                <wp:effectExtent b="0" l="0" r="0" t="0"/>
                <wp:wrapNone/>
                <wp:docPr id="1" name="image01.png"/>
                <a:graphic>
                  <a:graphicData uri="http://schemas.openxmlformats.org/drawingml/2006/picture">
                    <pic:pic>
                      <pic:nvPicPr>
                        <pic:cNvPr id="0" name="image0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797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38100</wp:posOffset>
                </wp:positionH>
                <wp:positionV relativeFrom="paragraph">
                  <wp:posOffset>228600</wp:posOffset>
                </wp:positionV>
                <wp:extent cx="2679700" cy="12700"/>
                <wp:effectExtent b="0" l="0" r="0" t="0"/>
                <wp:wrapNone/>
                <wp:docPr id="1" name="image03.png"/>
                <a:graphic>
                  <a:graphicData uri="http://schemas.openxmlformats.org/drawingml/2006/picture">
                    <pic:pic>
                      <pic:nvPicPr>
                        <pic:cNvPr id="0" name="image0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797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i w:val="1"/>
          <w:color w:val="808080"/>
          <w:rtl w:val="0"/>
        </w:rPr>
        <w:t xml:space="preserve">Ciudad Capital:</w:t>
      </w:r>
      <w:r w:rsidDel="00000000" w:rsidR="00000000" w:rsidRPr="00000000">
        <w:rPr>
          <w:i w:val="0"/>
          <w:color w:val="808080"/>
          <w:rtl w:val="0"/>
        </w:rPr>
        <w:t xml:space="preserve"> Moquegua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i w:val="1"/>
          <w:color w:val="808080"/>
          <w:rtl w:val="0"/>
        </w:rPr>
        <w:t xml:space="preserve">Superficie: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</w:t>
      </w:r>
      <w:r w:rsidDel="00000000" w:rsidR="00000000" w:rsidRPr="00000000">
        <w:rPr>
          <w:i w:val="0"/>
          <w:color w:val="808080"/>
          <w:rtl w:val="0"/>
        </w:rPr>
        <w:t xml:space="preserve">15.734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i w:val="0"/>
          <w:color w:val="808080"/>
          <w:rtl w:val="0"/>
        </w:rPr>
        <w:t xml:space="preserve">Km</w:t>
      </w:r>
      <w:r w:rsidDel="00000000" w:rsidR="00000000" w:rsidRPr="00000000">
        <w:rPr>
          <w:i w:val="0"/>
          <w:color w:val="808080"/>
          <w:vertAlign w:val="superscript"/>
          <w:rtl w:val="0"/>
        </w:rPr>
        <w:t xml:space="preserve">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i w:val="1"/>
          <w:color w:val="808080"/>
          <w:rtl w:val="0"/>
        </w:rPr>
        <w:t xml:space="preserve">Población: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</w:t>
      </w:r>
      <w:r w:rsidDel="00000000" w:rsidR="00000000" w:rsidRPr="00000000">
        <w:rPr>
          <w:i w:val="0"/>
          <w:color w:val="808080"/>
          <w:rtl w:val="0"/>
        </w:rPr>
        <w:t xml:space="preserve">182.333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i w:val="0"/>
          <w:color w:val="808080"/>
          <w:rtl w:val="0"/>
        </w:rPr>
        <w:t xml:space="preserve">habitantes (2016)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i w:val="1"/>
          <w:color w:val="808080"/>
          <w:rtl w:val="0"/>
        </w:rPr>
        <w:t xml:space="preserve">Gobernador Regional </w:t>
      </w:r>
      <w:r w:rsidDel="00000000" w:rsidR="00000000" w:rsidRPr="00000000">
        <w:rPr>
          <w:i w:val="0"/>
          <w:color w:val="808080"/>
          <w:rtl w:val="0"/>
        </w:rPr>
        <w:t xml:space="preserve">Jaime Rodríguez</w:t>
      </w:r>
    </w:p>
    <w:p w:rsidR="00000000" w:rsidDel="00000000" w:rsidP="00000000" w:rsidRDefault="00000000" w:rsidRPr="00000000">
      <w:pPr>
        <w:contextualSpacing w:val="0"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8847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ffffff" w:space="0" w:sz="4" w:val="single"/>
          <w:insideV w:color="000000" w:space="0" w:sz="4" w:val="single"/>
        </w:tblBorders>
        <w:tblLayout w:type="fixed"/>
        <w:tblLook w:val="04A0"/>
      </w:tblPr>
      <w:tblGrid>
        <w:gridCol w:w="2275"/>
        <w:gridCol w:w="3060"/>
        <w:gridCol w:w="1380"/>
        <w:gridCol w:w="1171"/>
        <w:gridCol w:w="961"/>
        <w:tblGridChange w:id="0">
          <w:tblGrid>
            <w:gridCol w:w="2275"/>
            <w:gridCol w:w="3060"/>
            <w:gridCol w:w="1380"/>
            <w:gridCol w:w="1171"/>
            <w:gridCol w:w="961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Indicadores de referencia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Indicador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Valor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Año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Fuente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Educación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Tasa de Alfabetismo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95,3%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2012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INEI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Salud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Población que cuenta 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con cobertura de salud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64,4%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2012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INEI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Empleo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PEA Ocupada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(Personas)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98.312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94,61%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2012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INEI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PBI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Participación en PBI nacional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Valor Agregado Bruto (precios constantes nuevos soles 1994)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1,6%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2014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2012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INEI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Exportaciones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Valor de exportaciones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 (en millones de US$ FOB)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842,4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(4,49% de las del país)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Ene-Jul 2016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SUNAT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IDH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Índice de Desarrollo Humano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0,6215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2013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INEI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NBI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Población con al menos un indicador de NBI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9,6%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2014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INEI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Ingresos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Ingreso Promedio Mensual 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del Hogar (en Nuevos Soles)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1.780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2012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INEI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Pobreza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Porcentaje de Pobreza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8.1 - 9.6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2012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INEI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Estructura económica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Cantidad de empresas exportadoras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Empresas de 1-10 trabajadores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31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63.3%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2015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2012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INEI</w:t>
            </w:r>
          </w:p>
        </w:tc>
      </w:tr>
    </w:tbl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i w:val="1"/>
          <w:rtl w:val="0"/>
        </w:rPr>
        <w:t xml:space="preserve">Principales actividades económicas:</w:t>
      </w:r>
    </w:p>
    <w:p w:rsidR="00000000" w:rsidDel="00000000" w:rsidP="00000000" w:rsidRDefault="00000000" w:rsidRPr="00000000">
      <w:pPr>
        <w:spacing w:after="0" w:lineRule="auto"/>
        <w:contextualSpacing w:val="0"/>
        <w:jc w:val="both"/>
      </w:pPr>
      <w:r w:rsidDel="00000000" w:rsidR="00000000" w:rsidRPr="00000000">
        <w:rPr>
          <w:i w:val="0"/>
          <w:color w:val="808080"/>
          <w:rtl w:val="0"/>
        </w:rPr>
        <w:t xml:space="preserve">Según sus aportes al PBI departamental; la actividad económica principal en 2014 fue la de los servicios, seguida luego por la minería -cobre, molibdeno, plomo, selenio, zinc y plata-, el comercio, la construcción, la agricultura y el transporte y las comunicaciones.</w:t>
      </w:r>
    </w:p>
    <w:p w:rsidR="00000000" w:rsidDel="00000000" w:rsidP="00000000" w:rsidRDefault="00000000" w:rsidRPr="00000000">
      <w:pPr>
        <w:spacing w:after="0" w:lineRule="auto"/>
        <w:contextualSpacing w:val="0"/>
        <w:jc w:val="both"/>
      </w:pPr>
      <w:r w:rsidDel="00000000" w:rsidR="00000000" w:rsidRPr="00000000">
        <w:rPr>
          <w:i w:val="0"/>
          <w:color w:val="808080"/>
          <w:rtl w:val="0"/>
        </w:rPr>
        <w:t xml:space="preserve">La agricultura absorbe la mayor cantidad de trabajadores, en torno de la producción de oliva, palta, y frutales como limón, lima y damascos. El ganado vacuno se encuentra extendido en toda la región y se pastorean también cabras y ovejas. Moquegua además, posee las mayores reservas de cobre del país concentradas en Mariscal Nieto, la fábrica de harina y aceite de pescado más grande del país y una incipiente producción de vinos.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i w:val="1"/>
          <w:rtl w:val="0"/>
        </w:rPr>
        <w:t xml:space="preserve">Principales exportaciones:</w:t>
      </w:r>
    </w:p>
    <w:p w:rsidR="00000000" w:rsidDel="00000000" w:rsidP="00000000" w:rsidRDefault="00000000" w:rsidRPr="00000000">
      <w:pPr>
        <w:widowControl w:val="0"/>
        <w:tabs>
          <w:tab w:val="left" w:pos="0"/>
        </w:tabs>
        <w:spacing w:after="0" w:before="0" w:line="276" w:lineRule="auto"/>
        <w:contextualSpacing w:val="0"/>
        <w:jc w:val="both"/>
      </w:pPr>
      <w:r w:rsidDel="00000000" w:rsidR="00000000" w:rsidRPr="00000000">
        <w:rPr>
          <w:rFonts w:ascii="Calibri" w:cs="Calibri" w:eastAsia="Calibri" w:hAnsi="Calibri"/>
          <w:b w:val="0"/>
          <w:i w:val="0"/>
          <w:color w:val="808080"/>
          <w:sz w:val="22"/>
          <w:szCs w:val="22"/>
          <w:rtl w:val="0"/>
        </w:rPr>
        <w:t xml:space="preserve">Moquegua ha sido, después de Lima y Ancash, de las regiones con mayor aporte a las exportaciones del país desde 2005 (entre el 9 y el 7% del valor exportado nacional). Sin embargo, dicha participación ha sido inestable y se encontró en 2016 alrededor del 5%. Además, los productos exportados han sido poco diversos y completamente centrados en los de origen minero (95%), en su mayoría cobre y molibdeno. Luego de ellos, se encuentran el químico y la pesca -harina y el aceite de pescado-.</w:t>
      </w:r>
    </w:p>
    <w:p w:rsidR="00000000" w:rsidDel="00000000" w:rsidP="00000000" w:rsidRDefault="00000000" w:rsidRPr="00000000">
      <w:pPr>
        <w:widowControl w:val="0"/>
        <w:tabs>
          <w:tab w:val="left" w:pos="204"/>
        </w:tabs>
        <w:spacing w:after="0" w:before="0" w:line="276" w:lineRule="auto"/>
        <w:contextualSpacing w:val="0"/>
        <w:jc w:val="both"/>
      </w:pPr>
      <w:r w:rsidDel="00000000" w:rsidR="00000000" w:rsidRPr="00000000">
        <w:rPr>
          <w:rFonts w:ascii="Calibri" w:cs="Calibri" w:eastAsia="Calibri" w:hAnsi="Calibri"/>
          <w:b w:val="0"/>
          <w:i w:val="0"/>
          <w:color w:val="808080"/>
          <w:sz w:val="22"/>
          <w:szCs w:val="22"/>
          <w:rtl w:val="0"/>
        </w:rPr>
        <w:t xml:space="preserve">Dada su localización clave y la infraestructura en comunicación, transporte y comercio instalada, la Región se presenta con un gran performance de volver éstas condiciones en ventajas para la competitividad regional y el desarrollo exportador no sólo regional sino de la Región Sur, brindando tanto servicios para la exportación de las empresas nacionales, como exportando servicios logísticos a operadores de otros países.</w:t>
      </w:r>
    </w:p>
    <w:p w:rsidR="00000000" w:rsidDel="00000000" w:rsidP="00000000" w:rsidRDefault="00000000" w:rsidRPr="00000000">
      <w:pPr>
        <w:spacing w:after="0" w:lineRule="auto"/>
        <w:contextualSpacing w:val="0"/>
        <w:jc w:val="both"/>
      </w:pPr>
      <w:r w:rsidDel="00000000" w:rsidR="00000000" w:rsidRPr="00000000">
        <w:rPr>
          <w:i w:val="0"/>
          <w:color w:val="808080"/>
          <w:rtl w:val="0"/>
        </w:rPr>
        <w:t xml:space="preserve">Los principales mercados de destino suelen ser los Países Bajos, Estados Unidos, Italia, Chile, China,   Brasil, Canadá, Taiwán, Reino Unido, y Japón en base a la exportación de cátodos de cobre.</w:t>
      </w:r>
    </w:p>
    <w:p w:rsidR="00000000" w:rsidDel="00000000" w:rsidP="00000000" w:rsidRDefault="00000000" w:rsidRPr="00000000">
      <w:pPr>
        <w:widowControl w:val="0"/>
        <w:tabs>
          <w:tab w:val="left" w:pos="0"/>
        </w:tabs>
        <w:spacing w:after="0" w:before="0" w:line="276" w:lineRule="auto"/>
        <w:contextualSpacing w:val="0"/>
        <w:jc w:val="both"/>
      </w:pPr>
      <w:r w:rsidDel="00000000" w:rsidR="00000000" w:rsidRPr="00000000">
        <w:rPr>
          <w:rFonts w:ascii="Calibri" w:cs="Calibri" w:eastAsia="Calibri" w:hAnsi="Calibri"/>
          <w:b w:val="0"/>
          <w:i w:val="0"/>
          <w:color w:val="808080"/>
          <w:sz w:val="22"/>
          <w:szCs w:val="22"/>
          <w:rtl w:val="0"/>
        </w:rPr>
        <w:t xml:space="preserve">Dentro de los productos destacados en tanto potencialidades a desarrollar para la exportación se encuentran: las manufacturas de cobre, pisco, acabados para la construcción de mármol y granito, carbón de piedra, uva fresca, moluscos, truchas, servicios logísticos, servicios de mantenimiento y reparación de naves.</w:t>
      </w:r>
    </w:p>
    <w:p w:rsidR="00000000" w:rsidDel="00000000" w:rsidP="00000000" w:rsidRDefault="00000000" w:rsidRPr="00000000">
      <w:pPr>
        <w:widowControl w:val="0"/>
        <w:tabs>
          <w:tab w:val="left" w:pos="0"/>
        </w:tabs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tabs>
          <w:tab w:val="left" w:pos="0"/>
        </w:tabs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Calibri" w:cs="Calibri" w:eastAsia="Calibri" w:hAnsi="Calibri"/>
          <w:b w:val="0"/>
          <w:i w:val="1"/>
          <w:sz w:val="22"/>
          <w:szCs w:val="22"/>
          <w:rtl w:val="0"/>
        </w:rPr>
        <w:t xml:space="preserve">Principales cadenas productivas:</w:t>
      </w:r>
    </w:p>
    <w:p w:rsidR="00000000" w:rsidDel="00000000" w:rsidP="00000000" w:rsidRDefault="00000000" w:rsidRPr="00000000">
      <w:pPr>
        <w:widowControl w:val="0"/>
        <w:tabs>
          <w:tab w:val="left" w:pos="0"/>
        </w:tabs>
        <w:spacing w:after="0" w:before="0" w:line="276" w:lineRule="auto"/>
        <w:contextualSpacing w:val="0"/>
        <w:jc w:val="both"/>
      </w:pPr>
      <w:r w:rsidDel="00000000" w:rsidR="00000000" w:rsidRPr="00000000">
        <w:rPr>
          <w:color w:val="808080"/>
          <w:rtl w:val="0"/>
        </w:rPr>
        <w:t xml:space="preserve">Entre las cadenas más desarrolladas actualmente de Moquegua se encuentran la pesquera (harina y aceite de pescado), la de uva, palta, la minera en general y la del cobre en especial. Desde el Estado se están impulsando además la láctea, la de la tuna, el orégano, el vestido y el tejido, los damascos, la maderera, la porcina y la de los recursos hidrobiológicos.</w:t>
      </w:r>
    </w:p>
    <w:p w:rsidR="00000000" w:rsidDel="00000000" w:rsidP="00000000" w:rsidRDefault="00000000" w:rsidRPr="00000000">
      <w:pPr>
        <w:widowControl w:val="0"/>
        <w:tabs>
          <w:tab w:val="left" w:pos="0"/>
        </w:tabs>
        <w:spacing w:after="0" w:before="0" w:line="276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tabs>
          <w:tab w:val="left" w:pos="0"/>
        </w:tabs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Calibri" w:cs="Calibri" w:eastAsia="Calibri" w:hAnsi="Calibri"/>
          <w:b w:val="0"/>
          <w:i w:val="1"/>
          <w:sz w:val="22"/>
          <w:szCs w:val="22"/>
          <w:rtl w:val="0"/>
        </w:rPr>
        <w:t xml:space="preserve">Estructura económica:</w:t>
      </w:r>
    </w:p>
    <w:p w:rsidR="00000000" w:rsidDel="00000000" w:rsidP="00000000" w:rsidRDefault="00000000" w:rsidRPr="00000000">
      <w:pPr>
        <w:spacing w:after="0" w:lineRule="auto"/>
        <w:contextualSpacing w:val="0"/>
        <w:jc w:val="both"/>
      </w:pPr>
      <w:r w:rsidDel="00000000" w:rsidR="00000000" w:rsidRPr="00000000">
        <w:rPr>
          <w:color w:val="808080"/>
          <w:rtl w:val="0"/>
        </w:rPr>
        <w:t xml:space="preserve">A pesar de no encontrarse entre los departamentos más destacados del Perú, Moquegua es considerado especialmente prometedor en términos de competitividad por sus destacados resultados en educación, salud y cohesión social. Entre las actividades que más se destacan en su aporte a la economía de Moquegua, tenemos en primer lugar a la actividad manufacturera con el 44%, ligada estrechamente a la manufactura minera; seguido de la actividad minera con el 32%; luego la actividad de otros servicios con el 6% y construcción con el 5,9%.</w:t>
      </w:r>
    </w:p>
    <w:p w:rsidR="00000000" w:rsidDel="00000000" w:rsidP="00000000" w:rsidRDefault="00000000" w:rsidRPr="00000000">
      <w:pPr>
        <w:spacing w:after="0" w:lineRule="auto"/>
        <w:contextualSpacing w:val="0"/>
        <w:jc w:val="both"/>
      </w:pPr>
      <w:r w:rsidDel="00000000" w:rsidR="00000000" w:rsidRPr="00000000">
        <w:rPr>
          <w:color w:val="808080"/>
          <w:rtl w:val="0"/>
        </w:rPr>
        <w:t xml:space="preserve">La estructura empresarial de Moquegua, en el 2014, registró 10.790 empresas formales, representando el 0,7 por ciento del total nacional. A nivel de su composición, en su mayoría fueron micro y pequeñas empresas (MYPE) con una participación del 97,4% y 2,3% respectivamente, seguido de la grande empresa con el 0,2% y mediana empresa con el 0,1%. Según la encuesta Nacional de Hogares, en el 2015 sólo el 3,8% de la población económica activa se encontraba desempleada.</w:t>
      </w:r>
    </w:p>
    <w:p w:rsidR="00000000" w:rsidDel="00000000" w:rsidP="00000000" w:rsidRDefault="00000000" w:rsidRPr="00000000">
      <w:pPr>
        <w:spacing w:after="0" w:lineRule="auto"/>
        <w:contextualSpacing w:val="0"/>
        <w:jc w:val="both"/>
      </w:pPr>
      <w:r w:rsidDel="00000000" w:rsidR="00000000" w:rsidRPr="00000000">
        <w:rPr>
          <w:color w:val="808080"/>
          <w:rtl w:val="0"/>
        </w:rPr>
        <w:t xml:space="preserve">En 2015, el sector primario significó el 34,1% del PBI departamental, la industria un 51,1%, y el sector de servicios el 14,8%.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17" w:top="1417" w:left="1701" w:right="170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="276" w:lineRule="auto"/>
    </w:pPr>
    <w:rPr>
      <w:rFonts w:ascii="Cambria" w:cs="Cambria" w:eastAsia="Cambria" w:hAnsi="Cambria"/>
      <w:b w:val="0"/>
      <w:i w:val="1"/>
      <w:color w:val="4f81bd"/>
      <w:sz w:val="24"/>
      <w:szCs w:val="24"/>
    </w:rPr>
  </w:style>
  <w:style w:type="table" w:styleId="Table1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2dcdb"/>
    </w:tcPr>
    <w:tblStylePr w:type="band1Horz">
      <w:pPr>
        <w:contextualSpacing w:val="1"/>
      </w:pPr>
      <w:rPr/>
      <w:tcPr>
        <w:shd w:fill="dfa7a6"/>
        <w:tcMar>
          <w:left w:w="115.0" w:type="dxa"/>
          <w:right w:w="115.0" w:type="dxa"/>
        </w:tcMar>
      </w:tcPr>
    </w:tblStylePr>
    <w:tblStylePr w:type="band1Vert">
      <w:pPr>
        <w:contextualSpacing w:val="1"/>
      </w:pPr>
      <w:rPr/>
      <w:tcPr>
        <w:shd w:fill="dfa7a6"/>
        <w:tcMar>
          <w:left w:w="115.0" w:type="dxa"/>
          <w:right w:w="115.0" w:type="dxa"/>
        </w:tcMar>
      </w:tcPr>
    </w:tblStylePr>
    <w:tblStylePr w:type="band2Horz"/>
    <w:tblStylePr w:type="band2Vert"/>
    <w:tblStylePr w:type="firstCol">
      <w:pPr>
        <w:contextualSpacing w:val="1"/>
      </w:pPr>
      <w:rPr>
        <w:color w:val="ffffff"/>
      </w:rPr>
      <w:tcPr>
        <w:shd w:fill="943734"/>
        <w:tcMar>
          <w:left w:w="115.0" w:type="dxa"/>
          <w:right w:w="115.0" w:type="dxa"/>
        </w:tcMar>
      </w:tcPr>
    </w:tblStylePr>
    <w:tblStylePr w:type="firstRow">
      <w:pPr>
        <w:contextualSpacing w:val="1"/>
      </w:pPr>
      <w:rPr>
        <w:b w:val="1"/>
      </w:rPr>
      <w:tcPr>
        <w:shd w:fill="e5b9b7"/>
        <w:tcMar>
          <w:left w:w="115.0" w:type="dxa"/>
          <w:right w:w="115.0" w:type="dxa"/>
        </w:tcMar>
      </w:tcPr>
    </w:tblStylePr>
    <w:tblStylePr w:type="lastCol">
      <w:pPr>
        <w:contextualSpacing w:val="1"/>
      </w:pPr>
      <w:rPr>
        <w:color w:val="ffffff"/>
      </w:rPr>
      <w:tcPr>
        <w:shd w:fill="943734"/>
        <w:tcMar>
          <w:left w:w="115.0" w:type="dxa"/>
          <w:right w:w="115.0" w:type="dxa"/>
        </w:tcMar>
      </w:tcPr>
    </w:tblStylePr>
    <w:tblStylePr w:type="lastRow">
      <w:pPr>
        <w:contextualSpacing w:val="1"/>
      </w:pPr>
      <w:rPr>
        <w:b w:val="1"/>
        <w:color w:val="000000"/>
      </w:rPr>
      <w:tcPr>
        <w:shd w:fill="e5b9b7"/>
        <w:tcMar>
          <w:left w:w="115.0" w:type="dxa"/>
          <w:right w:w="115.0" w:type="dxa"/>
        </w:tcMar>
      </w:tcPr>
    </w:tblStylePr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5.png"/><Relationship Id="rId6" Type="http://schemas.openxmlformats.org/officeDocument/2006/relationships/image" Target="media/image01.png"/><Relationship Id="rId7" Type="http://schemas.openxmlformats.org/officeDocument/2006/relationships/image" Target="media/image03.png"/></Relationships>
</file>