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color w:val="984806"/>
          <w:rtl w:val="0"/>
        </w:rPr>
        <w:t xml:space="preserve">Tarapacá - Chile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3722977</wp:posOffset>
            </wp:positionH>
            <wp:positionV relativeFrom="paragraph">
              <wp:posOffset>-688779</wp:posOffset>
            </wp:positionV>
            <wp:extent cx="2632668" cy="260217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2668" cy="2602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</w:t>
      </w:r>
      <w:r w:rsidDel="00000000" w:rsidR="00000000" w:rsidRPr="00000000">
        <w:rPr>
          <w:i w:val="0"/>
          <w:color w:val="808080"/>
          <w:rtl w:val="0"/>
        </w:rPr>
        <w:t xml:space="preserve"> Iquique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shd w:fill="f9f9f9" w:val="clear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42.225,8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shd w:fill="f9f9f9" w:val="clear"/>
          <w:rtl w:val="0"/>
        </w:rPr>
        <w:t xml:space="preserve"> </w:t>
      </w:r>
      <w:r w:rsidDel="00000000" w:rsidR="00000000" w:rsidRPr="00000000">
        <w:rPr>
          <w:i w:val="0"/>
          <w:color w:val="808080"/>
          <w:rtl w:val="0"/>
        </w:rPr>
        <w:t xml:space="preserve">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8" w:before="120" w:lineRule="auto"/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336.769</w:t>
      </w: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 </w:t>
      </w:r>
      <w:r w:rsidDel="00000000" w:rsidR="00000000" w:rsidRPr="00000000">
        <w:rPr>
          <w:i w:val="0"/>
          <w:color w:val="808080"/>
          <w:rtl w:val="0"/>
        </w:rPr>
        <w:t xml:space="preserve">habitantes (2015)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Intendente</w:t>
      </w:r>
      <w:r w:rsidDel="00000000" w:rsidR="00000000" w:rsidRPr="00000000">
        <w:rPr>
          <w:i w:val="0"/>
          <w:color w:val="808080"/>
          <w:rtl w:val="0"/>
        </w:rPr>
        <w:t xml:space="preserve"> Claudia Rojas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80"/>
        <w:gridCol w:w="3015"/>
        <w:gridCol w:w="1425"/>
        <w:gridCol w:w="1170"/>
        <w:gridCol w:w="1185"/>
        <w:tblGridChange w:id="0">
          <w:tblGrid>
            <w:gridCol w:w="2280"/>
            <w:gridCol w:w="3015"/>
            <w:gridCol w:w="1425"/>
            <w:gridCol w:w="1170"/>
            <w:gridCol w:w="11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Matrícula Escolar Total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Alumnos Matriculados en Educación Superior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97.533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17.519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Atenciones médicas totales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Camas Hospitalarias cada 1.000 habitantes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757.870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2009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 Ocupada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(miles de personas)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Tasa de Desocupación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165,52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7,81%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Jul-Sep. 2016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 en PBI nacional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2,31</w:t>
            </w: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(en millones de US$ FOB)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3.903,9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0,905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Ingresos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Ingreso Medio Mensual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 los ocupados (en Pesos)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381.466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 exportadoras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PROCHILE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actividades económicas: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La economía de la región se basa principalmente en la extracción de recursos naturales </w:t>
      </w:r>
      <w:r w:rsidDel="00000000" w:rsidR="00000000" w:rsidRPr="00000000">
        <w:rPr>
          <w:color w:val="808080"/>
          <w:rtl w:val="0"/>
        </w:rPr>
        <w:t xml:space="preserve">de la M</w:t>
      </w:r>
      <w:hyperlink r:id="rId7">
        <w:r w:rsidDel="00000000" w:rsidR="00000000" w:rsidRPr="00000000">
          <w:rPr>
            <w:i w:val="0"/>
            <w:color w:val="808080"/>
            <w:rtl w:val="0"/>
          </w:rPr>
          <w:t xml:space="preserve">inería</w:t>
        </w:r>
      </w:hyperlink>
      <w:r w:rsidDel="00000000" w:rsidR="00000000" w:rsidRPr="00000000">
        <w:rPr>
          <w:color w:val="808080"/>
          <w:rtl w:val="0"/>
        </w:rPr>
        <w:t xml:space="preserve"> (especialmente de cobre pero también de plata, oro salitre, potasio, azufre, sulfato de aluminio y mármol)</w:t>
      </w:r>
      <w:r w:rsidDel="00000000" w:rsidR="00000000" w:rsidRPr="00000000">
        <w:rPr>
          <w:i w:val="0"/>
          <w:color w:val="808080"/>
          <w:rtl w:val="0"/>
        </w:rPr>
        <w:t xml:space="preserve">, </w:t>
      </w:r>
      <w:r w:rsidDel="00000000" w:rsidR="00000000" w:rsidRPr="00000000">
        <w:rPr>
          <w:color w:val="808080"/>
          <w:rtl w:val="0"/>
        </w:rPr>
        <w:t xml:space="preserve">y d</w:t>
      </w:r>
      <w:r w:rsidDel="00000000" w:rsidR="00000000" w:rsidRPr="00000000">
        <w:rPr>
          <w:i w:val="0"/>
          <w:color w:val="808080"/>
          <w:rtl w:val="0"/>
        </w:rPr>
        <w:t xml:space="preserve">el </w:t>
      </w:r>
      <w:r w:rsidDel="00000000" w:rsidR="00000000" w:rsidRPr="00000000">
        <w:rPr>
          <w:color w:val="808080"/>
          <w:rtl w:val="0"/>
        </w:rPr>
        <w:t xml:space="preserve">C</w:t>
      </w:r>
      <w:r w:rsidDel="00000000" w:rsidR="00000000" w:rsidRPr="00000000">
        <w:rPr>
          <w:i w:val="0"/>
          <w:color w:val="808080"/>
          <w:rtl w:val="0"/>
        </w:rPr>
        <w:t xml:space="preserve">omercio</w:t>
      </w:r>
      <w:r w:rsidDel="00000000" w:rsidR="00000000" w:rsidRPr="00000000">
        <w:rPr>
          <w:color w:val="808080"/>
          <w:rtl w:val="0"/>
        </w:rPr>
        <w:t xml:space="preserve"> y el sector gastronómico y hotelero gracias al turismo y la zona franca instalados en la región. Por su parte,</w:t>
      </w:r>
      <w:r w:rsidDel="00000000" w:rsidR="00000000" w:rsidRPr="00000000">
        <w:rPr>
          <w:i w:val="0"/>
          <w:color w:val="808080"/>
          <w:rtl w:val="0"/>
        </w:rPr>
        <w:t xml:space="preserve"> los siguen en importancia los </w:t>
      </w:r>
      <w:r w:rsidDel="00000000" w:rsidR="00000000" w:rsidRPr="00000000">
        <w:rPr>
          <w:color w:val="808080"/>
          <w:rtl w:val="0"/>
        </w:rPr>
        <w:t xml:space="preserve">S</w:t>
      </w:r>
      <w:r w:rsidDel="00000000" w:rsidR="00000000" w:rsidRPr="00000000">
        <w:rPr>
          <w:i w:val="0"/>
          <w:color w:val="808080"/>
          <w:rtl w:val="0"/>
        </w:rPr>
        <w:t xml:space="preserve">ervicios </w:t>
      </w:r>
      <w:r w:rsidDel="00000000" w:rsidR="00000000" w:rsidRPr="00000000">
        <w:rPr>
          <w:color w:val="808080"/>
          <w:rtl w:val="0"/>
        </w:rPr>
        <w:t xml:space="preserve">P</w:t>
      </w:r>
      <w:r w:rsidDel="00000000" w:rsidR="00000000" w:rsidRPr="00000000">
        <w:rPr>
          <w:i w:val="0"/>
          <w:color w:val="808080"/>
          <w:rtl w:val="0"/>
        </w:rPr>
        <w:t xml:space="preserve">ersonales y el sector de la </w:t>
      </w:r>
      <w:r w:rsidDel="00000000" w:rsidR="00000000" w:rsidRPr="00000000">
        <w:rPr>
          <w:color w:val="808080"/>
          <w:rtl w:val="0"/>
        </w:rPr>
        <w:t xml:space="preserve">C</w:t>
      </w:r>
      <w:r w:rsidDel="00000000" w:rsidR="00000000" w:rsidRPr="00000000">
        <w:rPr>
          <w:i w:val="0"/>
          <w:color w:val="808080"/>
          <w:rtl w:val="0"/>
        </w:rPr>
        <w:t xml:space="preserve">onstrucción.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S</w:t>
      </w:r>
      <w:r w:rsidDel="00000000" w:rsidR="00000000" w:rsidRPr="00000000">
        <w:rPr>
          <w:i w:val="0"/>
          <w:color w:val="808080"/>
          <w:rtl w:val="0"/>
        </w:rPr>
        <w:t xml:space="preserve">i bien </w:t>
      </w:r>
      <w:r w:rsidDel="00000000" w:rsidR="00000000" w:rsidRPr="00000000">
        <w:rPr>
          <w:color w:val="808080"/>
          <w:rtl w:val="0"/>
        </w:rPr>
        <w:t xml:space="preserve">l</w:t>
      </w:r>
      <w:r w:rsidDel="00000000" w:rsidR="00000000" w:rsidRPr="00000000">
        <w:rPr>
          <w:i w:val="0"/>
          <w:color w:val="808080"/>
          <w:rtl w:val="0"/>
        </w:rPr>
        <w:t xml:space="preserve">a pesca artesanal representa también una buena fuente de empleo</w:t>
      </w:r>
      <w:r w:rsidDel="00000000" w:rsidR="00000000" w:rsidRPr="00000000">
        <w:rPr>
          <w:color w:val="808080"/>
          <w:rtl w:val="0"/>
        </w:rPr>
        <w:t xml:space="preserve">, el sector pesquero es considerablemente dinámico. Éste se encuentra </w:t>
      </w:r>
      <w:r w:rsidDel="00000000" w:rsidR="00000000" w:rsidRPr="00000000">
        <w:rPr>
          <w:i w:val="0"/>
          <w:color w:val="808080"/>
          <w:rtl w:val="0"/>
        </w:rPr>
        <w:t xml:space="preserve">orientado preferentemente hacia la diversificación industrial, relacionad</w:t>
      </w:r>
      <w:r w:rsidDel="00000000" w:rsidR="00000000" w:rsidRPr="00000000">
        <w:rPr>
          <w:color w:val="808080"/>
          <w:rtl w:val="0"/>
        </w:rPr>
        <w:t xml:space="preserve">o</w:t>
      </w:r>
      <w:r w:rsidDel="00000000" w:rsidR="00000000" w:rsidRPr="00000000">
        <w:rPr>
          <w:i w:val="0"/>
          <w:color w:val="808080"/>
          <w:rtl w:val="0"/>
        </w:rPr>
        <w:t xml:space="preserve"> con la elaboración de ha</w:t>
      </w:r>
      <w:r w:rsidDel="00000000" w:rsidR="00000000" w:rsidRPr="00000000">
        <w:rPr>
          <w:color w:val="808080"/>
          <w:rtl w:val="0"/>
        </w:rPr>
        <w:t xml:space="preserve">rina y el aceite de pescado, la conservería y el congelado; </w:t>
      </w:r>
      <w:r w:rsidDel="00000000" w:rsidR="00000000" w:rsidRPr="00000000">
        <w:rPr>
          <w:i w:val="0"/>
          <w:color w:val="808080"/>
          <w:rtl w:val="0"/>
        </w:rPr>
        <w:t xml:space="preserve">siendo las especies más abundantes la sardina española y la agujilla</w:t>
      </w:r>
      <w:r w:rsidDel="00000000" w:rsidR="00000000" w:rsidRPr="00000000">
        <w:rPr>
          <w:color w:val="808080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La cría de auquénidos, así como de ovinos, caprinos y vacunos tiene cierta importancia.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exportaciones: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Las exportaciones totales de la región han contribuido con el 5,3% en 2014 y el 4,6% en 2015 del valor total de las exportaciones nacionales chilenas. Se deben enormemente a las ventas de cobre y hierro (</w:t>
      </w:r>
      <w:r w:rsidDel="00000000" w:rsidR="00000000" w:rsidRPr="00000000">
        <w:rPr>
          <w:color w:val="808080"/>
          <w:rtl w:val="0"/>
        </w:rPr>
        <w:t xml:space="preserve">superando el 70% de las exportaciones regionales)</w:t>
      </w:r>
      <w:r w:rsidDel="00000000" w:rsidR="00000000" w:rsidRPr="00000000">
        <w:rPr>
          <w:i w:val="0"/>
          <w:color w:val="808080"/>
          <w:rtl w:val="0"/>
        </w:rPr>
        <w:t xml:space="preserve">, pero se componen también de la ganancia de los alimentos.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La principal cadena de la región es sin lugar a dudas la del cobre que ha sido identificado como cadena estratégica en tanto que cuenta con inversión extranjera directa y una compleja red de empresas de todo tamaño que se ubican en los diversos eslabones de explotación, comercialización, equipamiento y servicios a él relacionados. Se encuentran en desarrollo también, la cadena de la quinua y la de los tamarugos (para madera, carbón y alimento para cabras), así como la del turismo a lo largo de las costas.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Según información del año 2005, la Región de Tarapacá contaba con un total de 12.980 empresas, de las cuales el 80,4% eran microempresas, 3,3% medianas, el 14,5% empresas pequeñas y un considerable 1,8% de grandes empresas. En 2012 por su parte, se registraron un 20,2% más de empresas; lo que implica un crecimiento considerablemente superior al dado a nivel país (13,5%). De las 17.598 empresas de Atacama relevadas en 2021, 16.063 presentaron ventas. La composición en términos del tamaño de las empresas sufrió algunas modificaciones en tanto que un 74,2% del total de empresas de la región correspondió a microempresas, un 19% a las pequeñas, un 4,6% a medianas y un 2,2% a grandes. Las empresas medianas fueron las que presentaron la mayor tasa anual de crecimiento en el periodo (7,5%) destacándose muy por encima del mismo indicador a nivel nacional. En cuanto a las ventas promedio, éstas aumentaron un 5,2% anual entre 2005 y 2012 -4,3% anual a nivel Chile- y en especial, las que más aumentaron sus ventas fueron las microempresas (2,3%).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2010, el PBI regional se compuso en un 54,8% de lo producido por el sector primario (en su enorme mayoría debido a la actividad minera que por sí sola implica el 53,8% del total del PBI) , en un 11,8% del secundario y en un 33,4% de los servicios. En estos últimos dos sectores, se destacaron la actividad comercial, hotelera y gastronómica, la construcción y los transportes y comunicaciones.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ada"/>
    </w:tcPr>
    <w:tblStylePr w:type="band1Horz">
      <w:pPr>
        <w:contextualSpacing w:val="1"/>
      </w:pPr>
      <w:rPr/>
      <w:tcPr>
        <w:shd w:fill="fbcaa2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fbcaa2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e36c09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fbd5b5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e36c09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fbd5b5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yperlink" Target="https://es.wikipedia.org/wiki/Miner%C3%ADa" TargetMode="External"/></Relationships>
</file>