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DC" w:rsidRPr="00A419A2" w:rsidRDefault="000E63DC" w:rsidP="000E63DC">
      <w:pPr>
        <w:jc w:val="center"/>
        <w:rPr>
          <w:b/>
          <w:color w:val="4F6228" w:themeColor="accent3" w:themeShade="80"/>
          <w:sz w:val="36"/>
          <w:szCs w:val="36"/>
        </w:rPr>
      </w:pPr>
      <w:r w:rsidRPr="00A419A2">
        <w:rPr>
          <w:b/>
          <w:color w:val="4F6228" w:themeColor="accent3" w:themeShade="80"/>
          <w:sz w:val="36"/>
          <w:szCs w:val="36"/>
        </w:rPr>
        <w:t xml:space="preserve">DEPARTAMENTOS DE LA ZICOSUR EN </w:t>
      </w:r>
      <w:r w:rsidR="00E378EA" w:rsidRPr="00A419A2">
        <w:rPr>
          <w:b/>
          <w:color w:val="4F6228" w:themeColor="accent3" w:themeShade="80"/>
          <w:sz w:val="36"/>
          <w:szCs w:val="36"/>
        </w:rPr>
        <w:t>BOLIVIA</w:t>
      </w:r>
    </w:p>
    <w:p w:rsidR="000E63DC" w:rsidRDefault="00A419A2" w:rsidP="000C5640">
      <w:pPr>
        <w:spacing w:after="0" w:line="360" w:lineRule="auto"/>
        <w:rPr>
          <w:b/>
          <w:color w:val="4F6228" w:themeColor="accent3" w:themeShade="80"/>
          <w:sz w:val="28"/>
          <w:szCs w:val="28"/>
        </w:rPr>
      </w:pPr>
      <w:r w:rsidRPr="000E63DC">
        <w:rPr>
          <w:b/>
          <w:noProof/>
          <w:color w:val="4F6228" w:themeColor="accent3" w:themeShade="80"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D50523" wp14:editId="0532DE78">
                <wp:simplePos x="0" y="0"/>
                <wp:positionH relativeFrom="margin">
                  <wp:posOffset>2910840</wp:posOffset>
                </wp:positionH>
                <wp:positionV relativeFrom="margin">
                  <wp:posOffset>490855</wp:posOffset>
                </wp:positionV>
                <wp:extent cx="3169920" cy="1706880"/>
                <wp:effectExtent l="19050" t="19050" r="11430" b="27940"/>
                <wp:wrapSquare wrapText="bothSides"/>
                <wp:docPr id="694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D24" w:rsidRDefault="00FA7D24" w:rsidP="00B91CF7">
                            <w:pPr>
                              <w:spacing w:after="0"/>
                              <w:jc w:val="both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A excepción del de La Paz, todos los departamentos bolivianos forman parte de la ZICOSUR; lo que implica la participación de regiones muy diversas entre sí.</w:t>
                            </w:r>
                          </w:p>
                          <w:p w:rsidR="00FA7D24" w:rsidRDefault="00FA7D24" w:rsidP="00B91C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-----------------------------------------</w:t>
                            </w:r>
                          </w:p>
                          <w:p w:rsidR="00FA7D24" w:rsidRDefault="00FA7D24" w:rsidP="00B91CF7">
                            <w:pPr>
                              <w:spacing w:after="0"/>
                              <w:jc w:val="both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Ellos ocupan casi el 90% del territorio nacional, concentran más de tres cuartos de la población y producen alrededor del 75% del PBI anual boliviano.</w:t>
                            </w:r>
                          </w:p>
                          <w:p w:rsidR="00FA7D24" w:rsidRDefault="00FA7D24" w:rsidP="00B91CF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------------------------------------------</w:t>
                            </w:r>
                          </w:p>
                          <w:p w:rsidR="00FA7D24" w:rsidRDefault="00FA7D24" w:rsidP="00B91CF7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Las actividades económicas principales de la región incluyen minería, ganadería extensiva, pesca de río, actividad forestal y agricultura.</w:t>
                            </w:r>
                          </w:p>
                          <w:p w:rsidR="00FA7D24" w:rsidRDefault="00FA7D24" w:rsidP="00B91CF7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DB0462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------------------------------------------</w:t>
                            </w:r>
                          </w:p>
                          <w:p w:rsidR="00FA7D24" w:rsidRPr="000C5640" w:rsidRDefault="00FA7D24" w:rsidP="00B91CF7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Las exportaciones de éste área además, fueron en 2015 más del 99% del total nacional en lo que hace a volumen y alcanzaron el 90% del valor exportado total.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forma 2" o:spid="_x0000_s1026" type="#_x0000_t185" style="position:absolute;margin-left:229.2pt;margin-top:38.65pt;width:249.6pt;height:13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FA7D24" w:rsidRDefault="00FA7D24" w:rsidP="00B91CF7">
                      <w:pPr>
                        <w:spacing w:after="0"/>
                        <w:jc w:val="both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A excepción del de La Paz, todos los departamentos bolivianos forman parte de la ZICOSUR; lo que implica la participación de regiones muy diversas entre sí.</w:t>
                      </w:r>
                    </w:p>
                    <w:p w:rsidR="00FA7D24" w:rsidRDefault="00FA7D24" w:rsidP="00B91CF7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-----------------------------------------</w:t>
                      </w:r>
                    </w:p>
                    <w:p w:rsidR="00FA7D24" w:rsidRDefault="00FA7D24" w:rsidP="00B91CF7">
                      <w:pPr>
                        <w:spacing w:after="0"/>
                        <w:jc w:val="both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Ellos ocupan casi el 90% del territorio nacional, concentran más de tres cuartos de la población y producen alrededor del 75% del PBI anual boliviano.</w:t>
                      </w:r>
                    </w:p>
                    <w:p w:rsidR="00FA7D24" w:rsidRDefault="00FA7D24" w:rsidP="00B91CF7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------------------------------------------</w:t>
                      </w:r>
                    </w:p>
                    <w:p w:rsidR="00FA7D24" w:rsidRDefault="00FA7D24" w:rsidP="00B91CF7">
                      <w:pPr>
                        <w:pBdr>
                          <w:bottom w:val="single" w:sz="6" w:space="1" w:color="auto"/>
                        </w:pBdr>
                        <w:spacing w:after="0"/>
                        <w:jc w:val="both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Las actividades económicas principales de la región incluyen minería, ganadería extensiva, pesca de río, actividad forestal y agricultura.</w:t>
                      </w:r>
                    </w:p>
                    <w:p w:rsidR="00FA7D24" w:rsidRDefault="00FA7D24" w:rsidP="00B91CF7">
                      <w:pPr>
                        <w:pBdr>
                          <w:bottom w:val="single" w:sz="6" w:space="1" w:color="auto"/>
                        </w:pBd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DB0462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------------------------------------------</w:t>
                      </w:r>
                    </w:p>
                    <w:p w:rsidR="00FA7D24" w:rsidRPr="000C5640" w:rsidRDefault="00FA7D24" w:rsidP="00B91CF7">
                      <w:pPr>
                        <w:pBdr>
                          <w:bottom w:val="single" w:sz="6" w:space="1" w:color="auto"/>
                        </w:pBdr>
                        <w:spacing w:after="0"/>
                        <w:jc w:val="both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Las exportaciones de éste área además, fueron en 2015 más del 99% del total nacional en lo que hace a volumen y alcanzaron el 90% del valor exportado total.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color w:val="4F6228" w:themeColor="accent3" w:themeShade="80"/>
          <w:sz w:val="28"/>
          <w:szCs w:val="28"/>
          <w:lang w:eastAsia="es-AR"/>
        </w:rPr>
        <w:drawing>
          <wp:anchor distT="0" distB="0" distL="114300" distR="114300" simplePos="0" relativeHeight="251658240" behindDoc="1" locked="0" layoutInCell="1" allowOverlap="1" wp14:anchorId="286A5C33" wp14:editId="135FE161">
            <wp:simplePos x="0" y="0"/>
            <wp:positionH relativeFrom="margin">
              <wp:posOffset>-485140</wp:posOffset>
            </wp:positionH>
            <wp:positionV relativeFrom="margin">
              <wp:posOffset>490855</wp:posOffset>
            </wp:positionV>
            <wp:extent cx="2110105" cy="2419350"/>
            <wp:effectExtent l="19050" t="19050" r="23495" b="1905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ivi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89" b="44471"/>
                    <a:stretch/>
                  </pic:blipFill>
                  <pic:spPr bwMode="auto">
                    <a:xfrm>
                      <a:off x="0" y="0"/>
                      <a:ext cx="2110105" cy="2419350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3DC">
        <w:rPr>
          <w:b/>
          <w:color w:val="4F6228" w:themeColor="accent3" w:themeShade="80"/>
          <w:sz w:val="28"/>
          <w:szCs w:val="28"/>
        </w:rPr>
        <w:t>Pando</w:t>
      </w:r>
      <w:r w:rsidR="000E63DC">
        <w:rPr>
          <w:b/>
          <w:color w:val="4F6228" w:themeColor="accent3" w:themeShade="80"/>
          <w:sz w:val="28"/>
          <w:szCs w:val="28"/>
        </w:rPr>
        <w:tab/>
      </w:r>
    </w:p>
    <w:p w:rsidR="000E63DC" w:rsidRDefault="000E63DC" w:rsidP="000C5640">
      <w:pPr>
        <w:spacing w:after="0" w:line="360" w:lineRule="auto"/>
        <w:ind w:left="2124"/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Beni</w:t>
      </w:r>
    </w:p>
    <w:p w:rsidR="000E63DC" w:rsidRDefault="000E63DC" w:rsidP="000C5640">
      <w:pPr>
        <w:spacing w:after="0" w:line="360" w:lineRule="auto"/>
        <w:ind w:left="2124"/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Santa Cruz</w:t>
      </w:r>
    </w:p>
    <w:p w:rsidR="000E63DC" w:rsidRDefault="000E63DC" w:rsidP="000C5640">
      <w:pPr>
        <w:spacing w:after="0" w:line="360" w:lineRule="auto"/>
        <w:ind w:left="2124"/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Cochabamba</w:t>
      </w:r>
    </w:p>
    <w:p w:rsidR="000E63DC" w:rsidRDefault="000E63DC" w:rsidP="000C5640">
      <w:pPr>
        <w:spacing w:after="0" w:line="360" w:lineRule="auto"/>
        <w:ind w:left="2124"/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Chuquisaca</w:t>
      </w:r>
    </w:p>
    <w:p w:rsidR="000E63DC" w:rsidRDefault="000E63DC" w:rsidP="000C5640">
      <w:pPr>
        <w:spacing w:after="0" w:line="360" w:lineRule="auto"/>
        <w:ind w:left="2124"/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Oruro</w:t>
      </w:r>
    </w:p>
    <w:p w:rsidR="000E63DC" w:rsidRDefault="000E63DC" w:rsidP="000C5640">
      <w:pPr>
        <w:spacing w:after="0" w:line="360" w:lineRule="auto"/>
        <w:ind w:left="2124"/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Potosí</w:t>
      </w:r>
    </w:p>
    <w:p w:rsidR="000E63DC" w:rsidRDefault="000E63DC" w:rsidP="000C5640">
      <w:pPr>
        <w:spacing w:after="0" w:line="360" w:lineRule="auto"/>
        <w:ind w:left="2124"/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Tarija</w:t>
      </w:r>
    </w:p>
    <w:p w:rsidR="00B91CF7" w:rsidRDefault="00B91CF7" w:rsidP="000C5640">
      <w:pPr>
        <w:spacing w:after="0" w:line="360" w:lineRule="auto"/>
        <w:ind w:left="2124"/>
        <w:rPr>
          <w:b/>
          <w:color w:val="4F6228" w:themeColor="accent3" w:themeShade="80"/>
          <w:sz w:val="28"/>
          <w:szCs w:val="28"/>
        </w:rPr>
      </w:pPr>
    </w:p>
    <w:p w:rsidR="00B91CF7" w:rsidRDefault="00B91CF7" w:rsidP="000C5640">
      <w:pPr>
        <w:spacing w:after="0" w:line="360" w:lineRule="auto"/>
        <w:ind w:left="2124"/>
        <w:rPr>
          <w:b/>
          <w:color w:val="4F6228" w:themeColor="accent3" w:themeShade="80"/>
          <w:sz w:val="28"/>
          <w:szCs w:val="28"/>
        </w:rPr>
      </w:pPr>
    </w:p>
    <w:p w:rsidR="00B91CF7" w:rsidRDefault="00B91CF7" w:rsidP="000C5640">
      <w:pPr>
        <w:spacing w:after="0" w:line="360" w:lineRule="auto"/>
        <w:ind w:left="2124"/>
        <w:rPr>
          <w:b/>
          <w:color w:val="4F6228" w:themeColor="accent3" w:themeShade="80"/>
          <w:sz w:val="28"/>
          <w:szCs w:val="28"/>
        </w:rPr>
      </w:pPr>
    </w:p>
    <w:p w:rsidR="00B91CF7" w:rsidRDefault="00B91CF7" w:rsidP="00B91CF7">
      <w:pPr>
        <w:spacing w:after="0" w:line="360" w:lineRule="auto"/>
        <w:rPr>
          <w:b/>
          <w:color w:val="4F6228" w:themeColor="accent3" w:themeShade="80"/>
          <w:sz w:val="28"/>
          <w:szCs w:val="28"/>
        </w:rPr>
      </w:pPr>
    </w:p>
    <w:p w:rsidR="00B91CF7" w:rsidRDefault="00B91CF7" w:rsidP="00FA7D24">
      <w:pPr>
        <w:spacing w:after="0" w:line="360" w:lineRule="auto"/>
        <w:rPr>
          <w:b/>
          <w:color w:val="4F6228" w:themeColor="accent3" w:themeShade="80"/>
          <w:sz w:val="16"/>
          <w:szCs w:val="16"/>
        </w:rPr>
      </w:pPr>
    </w:p>
    <w:p w:rsidR="00FA7D24" w:rsidRPr="00FA7D24" w:rsidRDefault="00FA7D24" w:rsidP="00FA7D24">
      <w:pPr>
        <w:spacing w:after="0" w:line="360" w:lineRule="auto"/>
        <w:rPr>
          <w:b/>
          <w:color w:val="4F6228" w:themeColor="accent3" w:themeShade="80"/>
          <w:sz w:val="16"/>
          <w:szCs w:val="16"/>
        </w:rPr>
      </w:pPr>
    </w:p>
    <w:tbl>
      <w:tblPr>
        <w:tblStyle w:val="Cuadrculavistosa-nfasis3"/>
        <w:tblW w:w="108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1984"/>
        <w:gridCol w:w="1403"/>
        <w:gridCol w:w="723"/>
        <w:gridCol w:w="1632"/>
      </w:tblGrid>
      <w:tr w:rsidR="00FA7D24" w:rsidTr="00E21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  <w:t>Indicadores de referencia</w:t>
            </w:r>
          </w:p>
        </w:tc>
        <w:tc>
          <w:tcPr>
            <w:tcW w:w="2835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  <w:t>Indicador</w:t>
            </w:r>
          </w:p>
        </w:tc>
        <w:tc>
          <w:tcPr>
            <w:tcW w:w="1984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  <w:t>Valor</w:t>
            </w:r>
          </w:p>
        </w:tc>
        <w:tc>
          <w:tcPr>
            <w:tcW w:w="1403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% en país</w:t>
            </w:r>
          </w:p>
        </w:tc>
        <w:tc>
          <w:tcPr>
            <w:tcW w:w="723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  <w:t>Año</w:t>
            </w:r>
          </w:p>
        </w:tc>
        <w:tc>
          <w:tcPr>
            <w:tcW w:w="1632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Cs w:val="0"/>
                <w:color w:val="000000"/>
                <w:lang w:eastAsia="es-AR"/>
              </w:rPr>
              <w:t>Fuente</w:t>
            </w:r>
          </w:p>
        </w:tc>
      </w:tr>
      <w:tr w:rsidR="00FA7D24" w:rsidTr="00E21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FA7D24" w:rsidRPr="002A01DE" w:rsidRDefault="00FA7D24" w:rsidP="00FA7D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Superficie</w:t>
            </w:r>
          </w:p>
        </w:tc>
        <w:tc>
          <w:tcPr>
            <w:tcW w:w="2835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Extensión territorial en Km</w:t>
            </w:r>
            <w:r w:rsidRPr="00FA7D24">
              <w:rPr>
                <w:rFonts w:ascii="Calibri" w:eastAsia="Calibri" w:hAnsi="Calibri" w:cs="Calibri"/>
                <w:color w:val="000000"/>
                <w:vertAlign w:val="superscript"/>
                <w:lang w:eastAsia="es-AR"/>
              </w:rPr>
              <w:t>2</w:t>
            </w:r>
          </w:p>
        </w:tc>
        <w:tc>
          <w:tcPr>
            <w:tcW w:w="1984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FA7D24">
              <w:rPr>
                <w:rFonts w:ascii="Calibri" w:eastAsia="Calibri" w:hAnsi="Calibri" w:cs="Calibri"/>
                <w:color w:val="000000"/>
                <w:lang w:eastAsia="es-AR"/>
              </w:rPr>
              <w:t>964</w:t>
            </w:r>
            <w:r>
              <w:rPr>
                <w:rFonts w:ascii="Calibri" w:eastAsia="Calibri" w:hAnsi="Calibri" w:cs="Calibri"/>
                <w:color w:val="000000"/>
                <w:lang w:eastAsia="es-AR"/>
              </w:rPr>
              <w:t>.</w:t>
            </w:r>
            <w:r w:rsidRPr="00FA7D24">
              <w:rPr>
                <w:rFonts w:ascii="Calibri" w:eastAsia="Calibri" w:hAnsi="Calibri" w:cs="Calibri"/>
                <w:color w:val="000000"/>
                <w:lang w:eastAsia="es-AR"/>
              </w:rPr>
              <w:t>596</w:t>
            </w:r>
          </w:p>
        </w:tc>
        <w:tc>
          <w:tcPr>
            <w:tcW w:w="1403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FA7D24">
              <w:rPr>
                <w:rFonts w:ascii="Calibri" w:eastAsia="Calibri" w:hAnsi="Calibri" w:cs="Calibri"/>
                <w:color w:val="000000"/>
                <w:lang w:eastAsia="es-AR"/>
              </w:rPr>
              <w:t>87,8%</w:t>
            </w:r>
          </w:p>
        </w:tc>
        <w:tc>
          <w:tcPr>
            <w:tcW w:w="723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2016</w:t>
            </w:r>
          </w:p>
        </w:tc>
        <w:tc>
          <w:tcPr>
            <w:tcW w:w="1632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INEB</w:t>
            </w:r>
          </w:p>
        </w:tc>
      </w:tr>
      <w:tr w:rsidR="00FA7D24" w:rsidTr="00E21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FA7D24" w:rsidRPr="002A01DE" w:rsidRDefault="00FA7D24" w:rsidP="00FA7D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Población</w:t>
            </w:r>
          </w:p>
        </w:tc>
        <w:tc>
          <w:tcPr>
            <w:tcW w:w="2835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Habitantes Censados</w:t>
            </w:r>
          </w:p>
        </w:tc>
        <w:tc>
          <w:tcPr>
            <w:tcW w:w="1984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FA7D24">
              <w:rPr>
                <w:rFonts w:ascii="Calibri" w:eastAsia="Calibri" w:hAnsi="Calibri" w:cs="Calibri"/>
                <w:color w:val="000000"/>
                <w:lang w:eastAsia="es-AR"/>
              </w:rPr>
              <w:t>7</w:t>
            </w:r>
            <w:r>
              <w:rPr>
                <w:rFonts w:ascii="Calibri" w:eastAsia="Calibri" w:hAnsi="Calibri" w:cs="Calibri"/>
                <w:color w:val="000000"/>
                <w:lang w:eastAsia="es-AR"/>
              </w:rPr>
              <w:t>.</w:t>
            </w:r>
            <w:r w:rsidRPr="00FA7D24">
              <w:rPr>
                <w:rFonts w:ascii="Calibri" w:eastAsia="Calibri" w:hAnsi="Calibri" w:cs="Calibri"/>
                <w:color w:val="000000"/>
                <w:lang w:eastAsia="es-AR"/>
              </w:rPr>
              <w:t>340</w:t>
            </w:r>
            <w:r>
              <w:rPr>
                <w:rFonts w:ascii="Calibri" w:eastAsia="Calibri" w:hAnsi="Calibri" w:cs="Calibri"/>
                <w:color w:val="000000"/>
                <w:lang w:eastAsia="es-AR"/>
              </w:rPr>
              <w:t>.</w:t>
            </w:r>
            <w:r w:rsidRPr="00FA7D24">
              <w:rPr>
                <w:rFonts w:ascii="Calibri" w:eastAsia="Calibri" w:hAnsi="Calibri" w:cs="Calibri"/>
                <w:color w:val="000000"/>
                <w:lang w:eastAsia="es-AR"/>
              </w:rPr>
              <w:t>512</w:t>
            </w:r>
          </w:p>
        </w:tc>
        <w:tc>
          <w:tcPr>
            <w:tcW w:w="1403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FA7D24">
              <w:rPr>
                <w:rFonts w:ascii="Calibri" w:eastAsia="Calibri" w:hAnsi="Calibri" w:cs="Calibri"/>
                <w:color w:val="000000"/>
                <w:lang w:eastAsia="es-AR"/>
              </w:rPr>
              <w:t>72,97%</w:t>
            </w:r>
          </w:p>
        </w:tc>
        <w:tc>
          <w:tcPr>
            <w:tcW w:w="723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2012</w:t>
            </w:r>
          </w:p>
        </w:tc>
        <w:tc>
          <w:tcPr>
            <w:tcW w:w="1632" w:type="dxa"/>
            <w:vAlign w:val="center"/>
          </w:tcPr>
          <w:p w:rsidR="00FA7D24" w:rsidRDefault="00FA7D24" w:rsidP="00FA7D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7B57">
              <w:t>INEB</w:t>
            </w:r>
          </w:p>
        </w:tc>
      </w:tr>
      <w:tr w:rsidR="00FA7D24" w:rsidTr="00E21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FA7D24" w:rsidRPr="002A01DE" w:rsidRDefault="00FA7D24" w:rsidP="00FA7D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PBI</w:t>
            </w:r>
          </w:p>
        </w:tc>
        <w:tc>
          <w:tcPr>
            <w:tcW w:w="2835" w:type="dxa"/>
            <w:vAlign w:val="center"/>
          </w:tcPr>
          <w:p w:rsidR="00FA7D24" w:rsidRDefault="00FA7D24" w:rsidP="00FA7D2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Producto Bruto Interno</w:t>
            </w:r>
          </w:p>
          <w:p w:rsidR="001C643B" w:rsidRPr="002A01DE" w:rsidRDefault="001C643B" w:rsidP="00FA7D2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(en Miles de Bolivianos)</w:t>
            </w:r>
          </w:p>
        </w:tc>
        <w:tc>
          <w:tcPr>
            <w:tcW w:w="1984" w:type="dxa"/>
            <w:vAlign w:val="center"/>
          </w:tcPr>
          <w:p w:rsidR="00FA7D24" w:rsidRPr="002A01DE" w:rsidRDefault="001C643B" w:rsidP="00FA7D2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1C643B">
              <w:rPr>
                <w:rFonts w:ascii="Calibri" w:eastAsia="Calibri" w:hAnsi="Calibri" w:cs="Calibri"/>
                <w:color w:val="000000"/>
                <w:lang w:eastAsia="es-AR"/>
              </w:rPr>
              <w:t>170</w:t>
            </w:r>
            <w:r>
              <w:rPr>
                <w:rFonts w:ascii="Calibri" w:eastAsia="Calibri" w:hAnsi="Calibri" w:cs="Calibri"/>
                <w:color w:val="000000"/>
                <w:lang w:eastAsia="es-AR"/>
              </w:rPr>
              <w:t>.</w:t>
            </w:r>
            <w:r w:rsidRPr="001C643B">
              <w:rPr>
                <w:rFonts w:ascii="Calibri" w:eastAsia="Calibri" w:hAnsi="Calibri" w:cs="Calibri"/>
                <w:color w:val="000000"/>
                <w:lang w:eastAsia="es-AR"/>
              </w:rPr>
              <w:t>548</w:t>
            </w:r>
            <w:r>
              <w:rPr>
                <w:rFonts w:ascii="Calibri" w:eastAsia="Calibri" w:hAnsi="Calibri" w:cs="Calibri"/>
                <w:color w:val="000000"/>
                <w:lang w:eastAsia="es-AR"/>
              </w:rPr>
              <w:t>.</w:t>
            </w:r>
            <w:r w:rsidRPr="001C643B">
              <w:rPr>
                <w:rFonts w:ascii="Calibri" w:eastAsia="Calibri" w:hAnsi="Calibri" w:cs="Calibri"/>
                <w:color w:val="000000"/>
                <w:lang w:eastAsia="es-AR"/>
              </w:rPr>
              <w:t>872</w:t>
            </w:r>
          </w:p>
        </w:tc>
        <w:tc>
          <w:tcPr>
            <w:tcW w:w="1403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FA7D24">
              <w:rPr>
                <w:rFonts w:ascii="Calibri" w:eastAsia="Calibri" w:hAnsi="Calibri" w:cs="Calibri"/>
                <w:color w:val="000000"/>
                <w:lang w:eastAsia="es-AR"/>
              </w:rPr>
              <w:t>75,06%</w:t>
            </w:r>
          </w:p>
        </w:tc>
        <w:tc>
          <w:tcPr>
            <w:tcW w:w="723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2013</w:t>
            </w:r>
          </w:p>
        </w:tc>
        <w:tc>
          <w:tcPr>
            <w:tcW w:w="1632" w:type="dxa"/>
            <w:vAlign w:val="center"/>
          </w:tcPr>
          <w:p w:rsidR="00FA7D24" w:rsidRDefault="00FA7D24" w:rsidP="00FA7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7B57">
              <w:t>INEB</w:t>
            </w:r>
          </w:p>
        </w:tc>
      </w:tr>
      <w:tr w:rsidR="00FA7D24" w:rsidTr="00E21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FA7D24" w:rsidRDefault="00FA7D24" w:rsidP="00FA7D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Exportaciones</w:t>
            </w:r>
          </w:p>
        </w:tc>
        <w:tc>
          <w:tcPr>
            <w:tcW w:w="2835" w:type="dxa"/>
            <w:vAlign w:val="center"/>
          </w:tcPr>
          <w:p w:rsidR="00FA7D24" w:rsidRDefault="00FA7D24" w:rsidP="00FA7D2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Valor de Exportaciones</w:t>
            </w:r>
          </w:p>
          <w:p w:rsidR="00FA7D24" w:rsidRPr="002A01DE" w:rsidRDefault="00FA7D24" w:rsidP="00FA7D2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 xml:space="preserve"> 2015 en US$ FOB</w:t>
            </w:r>
          </w:p>
        </w:tc>
        <w:tc>
          <w:tcPr>
            <w:tcW w:w="1984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FA7D24">
              <w:rPr>
                <w:rFonts w:ascii="Calibri" w:eastAsia="Calibri" w:hAnsi="Calibri" w:cs="Calibri"/>
                <w:color w:val="000000"/>
                <w:lang w:eastAsia="es-AR"/>
              </w:rPr>
              <w:t>7</w:t>
            </w:r>
            <w:r>
              <w:rPr>
                <w:rFonts w:ascii="Calibri" w:eastAsia="Calibri" w:hAnsi="Calibri" w:cs="Calibri"/>
                <w:color w:val="000000"/>
                <w:lang w:eastAsia="es-AR"/>
              </w:rPr>
              <w:t>.</w:t>
            </w:r>
            <w:r w:rsidRPr="00FA7D24">
              <w:rPr>
                <w:rFonts w:ascii="Calibri" w:eastAsia="Calibri" w:hAnsi="Calibri" w:cs="Calibri"/>
                <w:color w:val="000000"/>
                <w:lang w:eastAsia="es-AR"/>
              </w:rPr>
              <w:t>879</w:t>
            </w:r>
            <w:r>
              <w:rPr>
                <w:rFonts w:ascii="Calibri" w:eastAsia="Calibri" w:hAnsi="Calibri" w:cs="Calibri"/>
                <w:color w:val="000000"/>
                <w:lang w:eastAsia="es-AR"/>
              </w:rPr>
              <w:t>.</w:t>
            </w:r>
            <w:r w:rsidRPr="00FA7D24">
              <w:rPr>
                <w:rFonts w:ascii="Calibri" w:eastAsia="Calibri" w:hAnsi="Calibri" w:cs="Calibri"/>
                <w:color w:val="000000"/>
                <w:lang w:eastAsia="es-AR"/>
              </w:rPr>
              <w:t>231</w:t>
            </w:r>
            <w:r>
              <w:rPr>
                <w:rFonts w:ascii="Calibri" w:eastAsia="Calibri" w:hAnsi="Calibri" w:cs="Calibri"/>
                <w:color w:val="000000"/>
                <w:lang w:eastAsia="es-AR"/>
              </w:rPr>
              <w:t>.</w:t>
            </w:r>
            <w:r w:rsidRPr="00FA7D24">
              <w:rPr>
                <w:rFonts w:ascii="Calibri" w:eastAsia="Calibri" w:hAnsi="Calibri" w:cs="Calibri"/>
                <w:color w:val="000000"/>
                <w:lang w:eastAsia="es-AR"/>
              </w:rPr>
              <w:t>146</w:t>
            </w:r>
          </w:p>
        </w:tc>
        <w:tc>
          <w:tcPr>
            <w:tcW w:w="1403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FA7D24">
              <w:rPr>
                <w:rFonts w:ascii="Calibri" w:eastAsia="Calibri" w:hAnsi="Calibri" w:cs="Calibri"/>
                <w:color w:val="000000"/>
                <w:lang w:eastAsia="es-AR"/>
              </w:rPr>
              <w:t>90,33%</w:t>
            </w:r>
          </w:p>
        </w:tc>
        <w:tc>
          <w:tcPr>
            <w:tcW w:w="723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2015</w:t>
            </w:r>
          </w:p>
        </w:tc>
        <w:tc>
          <w:tcPr>
            <w:tcW w:w="1632" w:type="dxa"/>
            <w:vAlign w:val="center"/>
          </w:tcPr>
          <w:p w:rsidR="00FA7D24" w:rsidRDefault="00FA7D24" w:rsidP="00FA7D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7B57">
              <w:t>INEB</w:t>
            </w:r>
          </w:p>
        </w:tc>
      </w:tr>
      <w:tr w:rsidR="00FA7D24" w:rsidTr="00E21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FA7D24" w:rsidRDefault="00FA7D24" w:rsidP="00FA7D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Empleo</w:t>
            </w:r>
          </w:p>
        </w:tc>
        <w:tc>
          <w:tcPr>
            <w:tcW w:w="2835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PEA</w:t>
            </w:r>
          </w:p>
        </w:tc>
        <w:tc>
          <w:tcPr>
            <w:tcW w:w="1984" w:type="dxa"/>
            <w:vAlign w:val="center"/>
          </w:tcPr>
          <w:p w:rsidR="00FA7D24" w:rsidRPr="002A01DE" w:rsidRDefault="009B4244" w:rsidP="00FA7D2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2.178.929</w:t>
            </w:r>
          </w:p>
        </w:tc>
        <w:tc>
          <w:tcPr>
            <w:tcW w:w="1403" w:type="dxa"/>
            <w:vAlign w:val="center"/>
          </w:tcPr>
          <w:p w:rsidR="00FA7D24" w:rsidRPr="002A01DE" w:rsidRDefault="001C643B" w:rsidP="00FA7D2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45,9%</w:t>
            </w:r>
          </w:p>
        </w:tc>
        <w:tc>
          <w:tcPr>
            <w:tcW w:w="723" w:type="dxa"/>
            <w:vAlign w:val="center"/>
          </w:tcPr>
          <w:p w:rsidR="00FA7D24" w:rsidRPr="002A01DE" w:rsidRDefault="009B4244" w:rsidP="00FA7D2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2012</w:t>
            </w:r>
          </w:p>
        </w:tc>
        <w:tc>
          <w:tcPr>
            <w:tcW w:w="1632" w:type="dxa"/>
            <w:vAlign w:val="center"/>
          </w:tcPr>
          <w:p w:rsidR="00FA7D24" w:rsidRDefault="00FA7D24" w:rsidP="00FA7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7B57">
              <w:t>INEB</w:t>
            </w:r>
          </w:p>
        </w:tc>
      </w:tr>
      <w:tr w:rsidR="00FA7D24" w:rsidTr="00E21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FA7D24" w:rsidRPr="002A01DE" w:rsidRDefault="00FA7D24" w:rsidP="00FA7D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Educación</w:t>
            </w:r>
          </w:p>
        </w:tc>
        <w:tc>
          <w:tcPr>
            <w:tcW w:w="2835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Tasa de Alfabetismo (Población 15 años y más)</w:t>
            </w:r>
          </w:p>
        </w:tc>
        <w:tc>
          <w:tcPr>
            <w:tcW w:w="1984" w:type="dxa"/>
            <w:vAlign w:val="center"/>
          </w:tcPr>
          <w:p w:rsidR="00FA7D24" w:rsidRPr="002A01DE" w:rsidRDefault="001C643B" w:rsidP="00FA7D24">
            <w:pPr>
              <w:tabs>
                <w:tab w:val="center" w:pos="60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94,98</w:t>
            </w:r>
            <w:r w:rsidR="00FA7D24">
              <w:rPr>
                <w:rFonts w:ascii="Calibri" w:eastAsia="Calibri" w:hAnsi="Calibri" w:cs="Calibri"/>
                <w:color w:val="000000"/>
                <w:lang w:eastAsia="es-AR"/>
              </w:rPr>
              <w:t>%</w:t>
            </w:r>
          </w:p>
        </w:tc>
        <w:tc>
          <w:tcPr>
            <w:tcW w:w="1403" w:type="dxa"/>
            <w:vAlign w:val="center"/>
          </w:tcPr>
          <w:p w:rsidR="00FA7D24" w:rsidRDefault="00E213AD" w:rsidP="00FA7D2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En Bolivia:</w:t>
            </w:r>
          </w:p>
          <w:p w:rsidR="00E213AD" w:rsidRPr="002A01DE" w:rsidRDefault="00E213AD" w:rsidP="00FA7D2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94,9%</w:t>
            </w:r>
          </w:p>
        </w:tc>
        <w:tc>
          <w:tcPr>
            <w:tcW w:w="723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2013</w:t>
            </w:r>
          </w:p>
        </w:tc>
        <w:tc>
          <w:tcPr>
            <w:tcW w:w="1632" w:type="dxa"/>
            <w:vAlign w:val="center"/>
          </w:tcPr>
          <w:p w:rsidR="00FA7D24" w:rsidRDefault="00FA7D24" w:rsidP="00FA7D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5936">
              <w:t>INEB</w:t>
            </w:r>
          </w:p>
        </w:tc>
      </w:tr>
      <w:tr w:rsidR="00FA7D24" w:rsidTr="00E21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FA7D24" w:rsidRPr="002A01DE" w:rsidRDefault="00FA7D24" w:rsidP="00FA7D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Salud</w:t>
            </w:r>
          </w:p>
        </w:tc>
        <w:tc>
          <w:tcPr>
            <w:tcW w:w="2835" w:type="dxa"/>
            <w:vAlign w:val="center"/>
          </w:tcPr>
          <w:p w:rsidR="00FA7D24" w:rsidRDefault="00FA7D24" w:rsidP="00FA7D2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Mortalidad Infantil</w:t>
            </w:r>
          </w:p>
          <w:p w:rsidR="00FA7D24" w:rsidRPr="002A01DE" w:rsidRDefault="00FA7D24" w:rsidP="00FA7D2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(cada 1.000 nacidos)</w:t>
            </w:r>
          </w:p>
        </w:tc>
        <w:tc>
          <w:tcPr>
            <w:tcW w:w="1984" w:type="dxa"/>
            <w:vAlign w:val="center"/>
          </w:tcPr>
          <w:p w:rsidR="00FA7D24" w:rsidRPr="002A01DE" w:rsidRDefault="00E213AD" w:rsidP="00FA7D2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42,48</w:t>
            </w:r>
          </w:p>
        </w:tc>
        <w:tc>
          <w:tcPr>
            <w:tcW w:w="1403" w:type="dxa"/>
            <w:vAlign w:val="center"/>
          </w:tcPr>
          <w:p w:rsidR="00FA7D24" w:rsidRPr="002A01DE" w:rsidRDefault="00E213AD" w:rsidP="00FA7D2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E213AD">
              <w:rPr>
                <w:rFonts w:ascii="Calibri" w:eastAsia="Calibri" w:hAnsi="Calibri" w:cs="Calibri"/>
                <w:color w:val="000000"/>
                <w:lang w:eastAsia="es-AR"/>
              </w:rPr>
              <w:t>En Bolivia:</w:t>
            </w:r>
            <w:r>
              <w:rPr>
                <w:rFonts w:ascii="Calibri" w:eastAsia="Calibri" w:hAnsi="Calibri" w:cs="Calibri"/>
                <w:color w:val="000000"/>
                <w:lang w:eastAsia="es-AR"/>
              </w:rPr>
              <w:t xml:space="preserve"> 35,4%</w:t>
            </w:r>
          </w:p>
        </w:tc>
        <w:tc>
          <w:tcPr>
            <w:tcW w:w="723" w:type="dxa"/>
            <w:vAlign w:val="center"/>
          </w:tcPr>
          <w:p w:rsidR="00FA7D24" w:rsidRPr="002A01DE" w:rsidRDefault="00E213AD" w:rsidP="00FA7D2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2008</w:t>
            </w:r>
          </w:p>
        </w:tc>
        <w:tc>
          <w:tcPr>
            <w:tcW w:w="1632" w:type="dxa"/>
            <w:vAlign w:val="center"/>
          </w:tcPr>
          <w:p w:rsidR="00FA7D24" w:rsidRDefault="00FA7D24" w:rsidP="00FA7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5936">
              <w:t>INEB</w:t>
            </w:r>
          </w:p>
        </w:tc>
      </w:tr>
      <w:tr w:rsidR="00FA7D24" w:rsidTr="00E21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FA7D24" w:rsidRPr="002A01DE" w:rsidRDefault="00FA7D24" w:rsidP="00FA7D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Pobreza</w:t>
            </w:r>
          </w:p>
        </w:tc>
        <w:tc>
          <w:tcPr>
            <w:tcW w:w="2835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Porcentaje de Pobreza</w:t>
            </w:r>
          </w:p>
        </w:tc>
        <w:tc>
          <w:tcPr>
            <w:tcW w:w="1984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FA7D24">
              <w:rPr>
                <w:rFonts w:ascii="Calibri" w:eastAsia="Calibri" w:hAnsi="Calibri" w:cs="Calibri"/>
                <w:color w:val="000000"/>
                <w:lang w:eastAsia="es-AR"/>
              </w:rPr>
              <w:t>49</w:t>
            </w:r>
            <w:r>
              <w:rPr>
                <w:rFonts w:ascii="Calibri" w:eastAsia="Calibri" w:hAnsi="Calibri" w:cs="Calibri"/>
                <w:color w:val="000000"/>
                <w:lang w:eastAsia="es-AR"/>
              </w:rPr>
              <w:t>%</w:t>
            </w:r>
          </w:p>
        </w:tc>
        <w:tc>
          <w:tcPr>
            <w:tcW w:w="1403" w:type="dxa"/>
            <w:vAlign w:val="center"/>
          </w:tcPr>
          <w:p w:rsidR="00FA7D24" w:rsidRPr="002A01DE" w:rsidRDefault="00C66748" w:rsidP="00FA7D2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C66748">
              <w:rPr>
                <w:rFonts w:ascii="Calibri" w:eastAsia="Calibri" w:hAnsi="Calibri" w:cs="Calibri"/>
                <w:color w:val="000000"/>
                <w:lang w:eastAsia="es-AR"/>
              </w:rPr>
              <w:t xml:space="preserve">En Bolivia: </w:t>
            </w:r>
            <w:r>
              <w:rPr>
                <w:rFonts w:ascii="Calibri" w:eastAsia="Calibri" w:hAnsi="Calibri" w:cs="Calibri"/>
                <w:color w:val="000000"/>
                <w:lang w:eastAsia="es-AR"/>
              </w:rPr>
              <w:t>38,56%</w:t>
            </w:r>
          </w:p>
        </w:tc>
        <w:tc>
          <w:tcPr>
            <w:tcW w:w="723" w:type="dxa"/>
            <w:vAlign w:val="center"/>
          </w:tcPr>
          <w:p w:rsidR="00FA7D24" w:rsidRPr="002A01DE" w:rsidRDefault="009B4244" w:rsidP="00FA7D2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2012</w:t>
            </w:r>
          </w:p>
        </w:tc>
        <w:tc>
          <w:tcPr>
            <w:tcW w:w="1632" w:type="dxa"/>
            <w:vAlign w:val="center"/>
          </w:tcPr>
          <w:p w:rsidR="00FA7D24" w:rsidRDefault="00FA7D24" w:rsidP="00FA7D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5936">
              <w:t>INEB</w:t>
            </w:r>
          </w:p>
        </w:tc>
      </w:tr>
      <w:tr w:rsidR="00FA7D24" w:rsidTr="00E21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FA7D24" w:rsidRPr="002A01DE" w:rsidRDefault="00FA7D24" w:rsidP="00FA7D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A01DE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IDH</w:t>
            </w:r>
          </w:p>
        </w:tc>
        <w:tc>
          <w:tcPr>
            <w:tcW w:w="2835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Índice de Desarrollo Humano</w:t>
            </w:r>
          </w:p>
        </w:tc>
        <w:tc>
          <w:tcPr>
            <w:tcW w:w="1984" w:type="dxa"/>
            <w:vAlign w:val="center"/>
          </w:tcPr>
          <w:p w:rsidR="00FA7D24" w:rsidRPr="002A01DE" w:rsidRDefault="009B4244" w:rsidP="00FA7D2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0,638</w:t>
            </w:r>
          </w:p>
        </w:tc>
        <w:tc>
          <w:tcPr>
            <w:tcW w:w="1403" w:type="dxa"/>
            <w:vAlign w:val="center"/>
          </w:tcPr>
          <w:p w:rsidR="00FA7D24" w:rsidRPr="002A01DE" w:rsidRDefault="00C66748" w:rsidP="00FA7D2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 w:rsidRPr="00C66748">
              <w:rPr>
                <w:rFonts w:ascii="Calibri" w:eastAsia="Calibri" w:hAnsi="Calibri" w:cs="Calibri"/>
                <w:color w:val="000000"/>
                <w:lang w:eastAsia="es-AR"/>
              </w:rPr>
              <w:t>En Bolivia: 0,662</w:t>
            </w:r>
          </w:p>
        </w:tc>
        <w:tc>
          <w:tcPr>
            <w:tcW w:w="723" w:type="dxa"/>
            <w:vAlign w:val="center"/>
          </w:tcPr>
          <w:p w:rsidR="00FA7D24" w:rsidRPr="002A01DE" w:rsidRDefault="009B4244" w:rsidP="00FA7D2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2015</w:t>
            </w:r>
          </w:p>
        </w:tc>
        <w:tc>
          <w:tcPr>
            <w:tcW w:w="1632" w:type="dxa"/>
            <w:vAlign w:val="center"/>
          </w:tcPr>
          <w:p w:rsidR="00FA7D24" w:rsidRPr="002A01DE" w:rsidRDefault="00FA7D24" w:rsidP="00FA7D2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lang w:eastAsia="es-AR"/>
              </w:rPr>
              <w:t>PNUD</w:t>
            </w:r>
          </w:p>
        </w:tc>
      </w:tr>
    </w:tbl>
    <w:p w:rsidR="00B91CF7" w:rsidRDefault="00B91CF7" w:rsidP="000C5640">
      <w:pPr>
        <w:spacing w:after="0" w:line="360" w:lineRule="auto"/>
        <w:ind w:left="2124"/>
        <w:rPr>
          <w:b/>
          <w:color w:val="4F6228" w:themeColor="accent3" w:themeShade="80"/>
          <w:sz w:val="28"/>
          <w:szCs w:val="28"/>
        </w:rPr>
      </w:pPr>
    </w:p>
    <w:p w:rsidR="000A16EA" w:rsidRDefault="000A16EA" w:rsidP="00FA7D24">
      <w:bookmarkStart w:id="0" w:name="_GoBack"/>
      <w:bookmarkEnd w:id="0"/>
    </w:p>
    <w:tbl>
      <w:tblPr>
        <w:tblW w:w="91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1600"/>
        <w:gridCol w:w="1575"/>
        <w:gridCol w:w="1057"/>
      </w:tblGrid>
      <w:tr w:rsidR="00192D0B" w:rsidRPr="00192D0B" w:rsidTr="00192D0B">
        <w:trPr>
          <w:trHeight w:val="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BBB59"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lastRenderedPageBreak/>
              <w:t>Exportaciones 2015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BBB59"/>
            <w:vAlign w:val="center"/>
            <w:hideMark/>
          </w:tcPr>
          <w:p w:rsidR="00192D0B" w:rsidRDefault="00192D0B" w:rsidP="0019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Volumen</w:t>
            </w:r>
          </w:p>
          <w:p w:rsidR="00192D0B" w:rsidRPr="00192D0B" w:rsidRDefault="00192D0B" w:rsidP="0019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(kilos brutos)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BBB59"/>
            <w:vAlign w:val="center"/>
            <w:hideMark/>
          </w:tcPr>
          <w:p w:rsidR="00192D0B" w:rsidRDefault="00192D0B" w:rsidP="0019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Valor</w:t>
            </w:r>
          </w:p>
          <w:p w:rsidR="00192D0B" w:rsidRPr="00192D0B" w:rsidRDefault="00192D0B" w:rsidP="0019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(US$)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% s/Valor</w:t>
            </w:r>
          </w:p>
        </w:tc>
      </w:tr>
      <w:tr w:rsidR="00192D0B" w:rsidRPr="00192D0B" w:rsidTr="00192D0B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Gas Natural en Estado Gaseoso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23.067.333.210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3.771.165.766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43,23%</w:t>
            </w:r>
          </w:p>
        </w:tc>
      </w:tr>
      <w:tr w:rsidR="00192D0B" w:rsidRPr="00192D0B" w:rsidTr="00192D0B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Mineral de Zinc y sus concentrados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960.478.107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865.715.859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9,92%</w:t>
            </w:r>
          </w:p>
        </w:tc>
      </w:tr>
      <w:tr w:rsidR="00192D0B" w:rsidRPr="00192D0B" w:rsidTr="00192D0B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Formas de Oro en Bruto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24.330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723.880.157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8,30%</w:t>
            </w:r>
          </w:p>
        </w:tc>
      </w:tr>
      <w:tr w:rsidR="00192D0B" w:rsidRPr="00192D0B" w:rsidTr="00192D0B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Mineral de Plata y sus concentrados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17.441.398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567.296.391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6,50%</w:t>
            </w:r>
          </w:p>
        </w:tc>
      </w:tr>
      <w:tr w:rsidR="00192D0B" w:rsidRPr="00192D0B" w:rsidTr="00192D0B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Torta de Soja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1.550.049.536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512.874.071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5,88%</w:t>
            </w:r>
          </w:p>
        </w:tc>
      </w:tr>
      <w:tr w:rsidR="00192D0B" w:rsidRPr="00192D0B" w:rsidTr="00192D0B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Estaño en bruto sin alear (en lingotes)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15.478.240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251.327.759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2,88%</w:t>
            </w:r>
          </w:p>
        </w:tc>
      </w:tr>
      <w:tr w:rsidR="00192D0B" w:rsidRPr="00192D0B" w:rsidTr="00192D0B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Aceite Crudo de Soja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373.983.291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245.802.379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2,82%</w:t>
            </w:r>
          </w:p>
        </w:tc>
      </w:tr>
      <w:tr w:rsidR="00192D0B" w:rsidRPr="00192D0B" w:rsidTr="00192D0B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Aceites Crudos de Petróleo o de mineral bituminoso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557.486.464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202.713.597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2,32%</w:t>
            </w:r>
          </w:p>
        </w:tc>
      </w:tr>
      <w:tr w:rsidR="00192D0B" w:rsidRPr="00192D0B" w:rsidTr="00192D0B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Nueces Amazónicas sin cáscara, frescos o secos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24.812.531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190.838.769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2,19%</w:t>
            </w:r>
          </w:p>
        </w:tc>
      </w:tr>
      <w:tr w:rsidR="00192D0B" w:rsidRPr="00192D0B" w:rsidTr="00192D0B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Mineral de Plomo y sus concentrados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148.677.173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133.510.888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1,53%</w:t>
            </w:r>
          </w:p>
        </w:tc>
      </w:tr>
      <w:tr w:rsidR="00192D0B" w:rsidRPr="00192D0B" w:rsidTr="00192D0B">
        <w:trPr>
          <w:trHeight w:val="2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4D79B"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Principales 10 productos de exportación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26.715.764.280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7.465.125.636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color w:val="000000"/>
                <w:lang w:eastAsia="es-AR"/>
              </w:rPr>
              <w:t>100%</w:t>
            </w:r>
          </w:p>
        </w:tc>
      </w:tr>
      <w:tr w:rsidR="00192D0B" w:rsidRPr="00192D0B" w:rsidTr="00192D0B">
        <w:trPr>
          <w:trHeight w:val="2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95,39%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85,58%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D0B" w:rsidRPr="00192D0B" w:rsidRDefault="00192D0B" w:rsidP="0019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192D0B" w:rsidRPr="00192D0B" w:rsidTr="00192D0B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Total Bolivia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28.007.153.390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8.722.661.858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0B" w:rsidRPr="00192D0B" w:rsidRDefault="00192D0B" w:rsidP="0019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192D0B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100%</w:t>
            </w:r>
          </w:p>
        </w:tc>
      </w:tr>
    </w:tbl>
    <w:p w:rsidR="000A16EA" w:rsidRDefault="000A16EA" w:rsidP="00897386">
      <w:pPr>
        <w:jc w:val="center"/>
      </w:pPr>
    </w:p>
    <w:tbl>
      <w:tblPr>
        <w:tblW w:w="45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40"/>
      </w:tblGrid>
      <w:tr w:rsidR="006B6E3B" w:rsidRPr="006B6E3B" w:rsidTr="006B6E3B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Aeropuertos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Puertos</w:t>
            </w:r>
          </w:p>
        </w:tc>
      </w:tr>
      <w:tr w:rsidR="006B6E3B" w:rsidRPr="006B6E3B" w:rsidTr="006B6E3B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color w:val="000000"/>
                <w:lang w:eastAsia="es-AR"/>
              </w:rPr>
              <w:t>Beni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6B6E3B" w:rsidRPr="006B6E3B" w:rsidTr="006B6E3B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color w:val="000000"/>
                <w:lang w:eastAsia="es-AR"/>
              </w:rPr>
              <w:t>Chuquisaca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6B6E3B" w:rsidRPr="006B6E3B" w:rsidTr="006B6E3B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color w:val="000000"/>
                <w:lang w:eastAsia="es-AR"/>
              </w:rPr>
              <w:t>Cochabamba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6B6E3B" w:rsidRPr="006B6E3B" w:rsidTr="006B6E3B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color w:val="000000"/>
                <w:lang w:eastAsia="es-AR"/>
              </w:rPr>
              <w:t>Oruro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6B6E3B" w:rsidRPr="006B6E3B" w:rsidTr="006B6E3B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color w:val="000000"/>
                <w:lang w:eastAsia="es-AR"/>
              </w:rPr>
              <w:t>Pando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6B6E3B" w:rsidRPr="006B6E3B" w:rsidTr="006B6E3B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color w:val="000000"/>
                <w:lang w:eastAsia="es-AR"/>
              </w:rPr>
              <w:t>Potosí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  <w:tr w:rsidR="006B6E3B" w:rsidRPr="006B6E3B" w:rsidTr="006B6E3B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color w:val="000000"/>
                <w:lang w:eastAsia="es-AR"/>
              </w:rPr>
              <w:t>Santa Cruz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6B6E3B" w:rsidRPr="006B6E3B" w:rsidTr="006B6E3B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color w:val="000000"/>
                <w:lang w:eastAsia="es-AR"/>
              </w:rPr>
              <w:t>Tarija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B6E3B" w:rsidRPr="006B6E3B" w:rsidRDefault="006B6E3B" w:rsidP="006B6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B6E3B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</w:tr>
    </w:tbl>
    <w:p w:rsidR="00FF08C4" w:rsidRDefault="00FF08C4" w:rsidP="00FF08C4"/>
    <w:sectPr w:rsidR="00FF08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EA"/>
    <w:rsid w:val="00092B5A"/>
    <w:rsid w:val="000A16EA"/>
    <w:rsid w:val="000B3BB6"/>
    <w:rsid w:val="000C5640"/>
    <w:rsid w:val="000E63DC"/>
    <w:rsid w:val="00127386"/>
    <w:rsid w:val="001749E6"/>
    <w:rsid w:val="00192D0B"/>
    <w:rsid w:val="001C643B"/>
    <w:rsid w:val="001D0F4F"/>
    <w:rsid w:val="0020760F"/>
    <w:rsid w:val="00304028"/>
    <w:rsid w:val="003A4C4B"/>
    <w:rsid w:val="005110F2"/>
    <w:rsid w:val="005A472A"/>
    <w:rsid w:val="005F4BD0"/>
    <w:rsid w:val="006B0CF3"/>
    <w:rsid w:val="006B6E3B"/>
    <w:rsid w:val="00711E0A"/>
    <w:rsid w:val="00722889"/>
    <w:rsid w:val="007338A7"/>
    <w:rsid w:val="007479ED"/>
    <w:rsid w:val="008218CB"/>
    <w:rsid w:val="00853189"/>
    <w:rsid w:val="00897386"/>
    <w:rsid w:val="008C7FC4"/>
    <w:rsid w:val="008D6F31"/>
    <w:rsid w:val="009B4244"/>
    <w:rsid w:val="00A349A2"/>
    <w:rsid w:val="00A419A2"/>
    <w:rsid w:val="00B168DD"/>
    <w:rsid w:val="00B91CF7"/>
    <w:rsid w:val="00C22689"/>
    <w:rsid w:val="00C66748"/>
    <w:rsid w:val="00D108DD"/>
    <w:rsid w:val="00D73FB6"/>
    <w:rsid w:val="00DB0462"/>
    <w:rsid w:val="00DD4BD9"/>
    <w:rsid w:val="00E213AD"/>
    <w:rsid w:val="00E378EA"/>
    <w:rsid w:val="00E7492B"/>
    <w:rsid w:val="00E864FB"/>
    <w:rsid w:val="00ED4ECB"/>
    <w:rsid w:val="00F33EC5"/>
    <w:rsid w:val="00FA7D24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FC4"/>
    <w:rPr>
      <w:rFonts w:ascii="Tahoma" w:hAnsi="Tahoma" w:cs="Tahoma"/>
      <w:sz w:val="16"/>
      <w:szCs w:val="16"/>
    </w:rPr>
  </w:style>
  <w:style w:type="table" w:styleId="Cuadrculavistosa-nfasis1">
    <w:name w:val="Colorful Grid Accent 1"/>
    <w:basedOn w:val="Tablanormal"/>
    <w:uiPriority w:val="73"/>
    <w:rsid w:val="00B91C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3">
    <w:name w:val="Colorful Grid Accent 3"/>
    <w:basedOn w:val="Tablanormal"/>
    <w:uiPriority w:val="73"/>
    <w:rsid w:val="00B91C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FC4"/>
    <w:rPr>
      <w:rFonts w:ascii="Tahoma" w:hAnsi="Tahoma" w:cs="Tahoma"/>
      <w:sz w:val="16"/>
      <w:szCs w:val="16"/>
    </w:rPr>
  </w:style>
  <w:style w:type="table" w:styleId="Cuadrculavistosa-nfasis1">
    <w:name w:val="Colorful Grid Accent 1"/>
    <w:basedOn w:val="Tablanormal"/>
    <w:uiPriority w:val="73"/>
    <w:rsid w:val="00B91C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3">
    <w:name w:val="Colorful Grid Accent 3"/>
    <w:basedOn w:val="Tablanormal"/>
    <w:uiPriority w:val="73"/>
    <w:rsid w:val="00B91C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Saleme</dc:creator>
  <cp:lastModifiedBy>Martina Saleme</cp:lastModifiedBy>
  <cp:revision>3</cp:revision>
  <dcterms:created xsi:type="dcterms:W3CDTF">2016-11-29T14:40:00Z</dcterms:created>
  <dcterms:modified xsi:type="dcterms:W3CDTF">2016-11-30T14:41:00Z</dcterms:modified>
</cp:coreProperties>
</file>